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968" w:rsidRDefault="00DC4968" w:rsidP="006017EA">
      <w:pPr>
        <w:spacing w:line="360" w:lineRule="auto"/>
        <w:jc w:val="center"/>
        <w:rPr>
          <w:rFonts w:ascii="Monotype Corsiva" w:hAnsi="Monotype Corsiva" w:cs="Times New Roman"/>
          <w:b/>
          <w:bCs/>
          <w:color w:val="4F81BD"/>
          <w:sz w:val="40"/>
          <w:szCs w:val="40"/>
          <w:lang w:bidi="ar-EG"/>
        </w:rPr>
      </w:pPr>
      <w:r w:rsidRPr="00697721">
        <w:rPr>
          <w:rFonts w:ascii="Monotype Corsiva" w:hAnsi="Monotype Corsiva" w:cs="Times New Roman"/>
          <w:b/>
          <w:bCs/>
          <w:color w:val="4F81BD"/>
          <w:sz w:val="40"/>
          <w:szCs w:val="40"/>
          <w:lang w:bidi="ar-EG"/>
        </w:rPr>
        <w:t xml:space="preserve">The possible role of endothelial nitric oxide synthase (eNOS) in </w:t>
      </w:r>
      <w:r w:rsidRPr="00697721">
        <w:rPr>
          <w:rFonts w:ascii="Monotype Corsiva" w:hAnsi="Monotype Corsiva" w:cs="Times New Roman"/>
          <w:b/>
          <w:bCs/>
          <w:color w:val="4F81BD"/>
          <w:sz w:val="40"/>
          <w:szCs w:val="40"/>
        </w:rPr>
        <w:t xml:space="preserve">the effect of Sitagliptin </w:t>
      </w:r>
      <w:r w:rsidRPr="00697721">
        <w:rPr>
          <w:rFonts w:ascii="Monotype Corsiva" w:hAnsi="Monotype Corsiva" w:cs="Times New Roman"/>
          <w:b/>
          <w:bCs/>
          <w:color w:val="4F81BD"/>
          <w:sz w:val="40"/>
          <w:szCs w:val="40"/>
          <w:lang w:bidi="ar-EG"/>
        </w:rPr>
        <w:t>on Doxorubicin induced cardiac dysfunction in adult male rats</w:t>
      </w:r>
    </w:p>
    <w:p w:rsidR="006017EA" w:rsidRPr="006017EA" w:rsidRDefault="006017EA" w:rsidP="006017EA">
      <w:pPr>
        <w:spacing w:line="360" w:lineRule="auto"/>
        <w:jc w:val="center"/>
        <w:rPr>
          <w:rFonts w:ascii="Monotype Corsiva" w:hAnsi="Monotype Corsiva" w:cs="Times New Roman"/>
          <w:b/>
          <w:bCs/>
          <w:color w:val="000000" w:themeColor="text1"/>
          <w:sz w:val="40"/>
          <w:szCs w:val="40"/>
          <w:rtl/>
        </w:rPr>
      </w:pPr>
      <w:r w:rsidRPr="006017EA">
        <w:rPr>
          <w:rFonts w:ascii="Monotype Corsiva" w:hAnsi="Monotype Corsiva" w:cs="Times New Roman"/>
          <w:b/>
          <w:bCs/>
          <w:color w:val="000000" w:themeColor="text1"/>
          <w:sz w:val="40"/>
          <w:szCs w:val="40"/>
          <w:lang w:bidi="ar-EG"/>
        </w:rPr>
        <w:t>By</w:t>
      </w:r>
    </w:p>
    <w:p w:rsidR="007C7E93" w:rsidRPr="005727C4" w:rsidRDefault="007C7E93" w:rsidP="006017EA">
      <w:pPr>
        <w:spacing w:line="480" w:lineRule="auto"/>
        <w:jc w:val="center"/>
        <w:rPr>
          <w:rFonts w:asciiTheme="majorBidi" w:hAnsiTheme="majorBidi" w:cstheme="majorBidi"/>
          <w:b/>
          <w:bCs/>
          <w:lang w:bidi="ar-EG"/>
        </w:rPr>
      </w:pPr>
      <w:r w:rsidRPr="00EF2D25">
        <w:rPr>
          <w:rFonts w:asciiTheme="majorBidi" w:hAnsiTheme="majorBidi" w:cstheme="majorBidi"/>
          <w:b/>
          <w:bCs/>
          <w:lang w:bidi="ar-EG"/>
        </w:rPr>
        <w:t>Tayseer</w:t>
      </w:r>
      <w:r w:rsidR="008966DC" w:rsidRPr="00EF2D25">
        <w:rPr>
          <w:rFonts w:asciiTheme="majorBidi" w:hAnsiTheme="majorBidi" w:cstheme="majorBidi"/>
          <w:b/>
          <w:bCs/>
          <w:lang w:bidi="ar-EG"/>
        </w:rPr>
        <w:t xml:space="preserve"> A.</w:t>
      </w:r>
      <w:r w:rsidR="006017EA">
        <w:rPr>
          <w:rFonts w:asciiTheme="majorBidi" w:hAnsiTheme="majorBidi" w:cstheme="majorBidi"/>
          <w:b/>
          <w:bCs/>
          <w:lang w:bidi="ar-EG"/>
        </w:rPr>
        <w:t xml:space="preserve">EL-Din Ibrahim, Mona K. Elawam, </w:t>
      </w:r>
      <w:r w:rsidR="008966DC" w:rsidRPr="00EF2D25">
        <w:rPr>
          <w:rFonts w:asciiTheme="majorBidi" w:hAnsiTheme="majorBidi" w:cstheme="majorBidi"/>
          <w:b/>
          <w:bCs/>
          <w:lang w:bidi="ar-EG"/>
        </w:rPr>
        <w:t>Mona A.</w:t>
      </w:r>
      <w:r w:rsidR="006017EA">
        <w:rPr>
          <w:rFonts w:asciiTheme="majorBidi" w:hAnsiTheme="majorBidi" w:cstheme="majorBidi"/>
          <w:b/>
          <w:bCs/>
          <w:lang w:bidi="ar-EG"/>
        </w:rPr>
        <w:t xml:space="preserve"> </w:t>
      </w:r>
      <w:r w:rsidR="008966DC" w:rsidRPr="00EF2D25">
        <w:rPr>
          <w:rFonts w:asciiTheme="majorBidi" w:hAnsiTheme="majorBidi" w:cstheme="majorBidi"/>
          <w:b/>
          <w:bCs/>
          <w:lang w:bidi="ar-EG"/>
        </w:rPr>
        <w:t>Said</w:t>
      </w:r>
      <w:r w:rsidRPr="00EF2D25">
        <w:rPr>
          <w:rFonts w:asciiTheme="majorBidi" w:hAnsiTheme="majorBidi" w:cstheme="majorBidi"/>
          <w:b/>
          <w:bCs/>
          <w:lang w:bidi="ar-EG"/>
        </w:rPr>
        <w:t>, Abeer A.</w:t>
      </w:r>
      <w:r w:rsidR="006017EA">
        <w:rPr>
          <w:rFonts w:asciiTheme="majorBidi" w:hAnsiTheme="majorBidi" w:cstheme="majorBidi"/>
          <w:b/>
          <w:bCs/>
          <w:lang w:bidi="ar-EG"/>
        </w:rPr>
        <w:t xml:space="preserve"> </w:t>
      </w:r>
      <w:r w:rsidRPr="00EF2D25">
        <w:rPr>
          <w:rFonts w:asciiTheme="majorBidi" w:hAnsiTheme="majorBidi" w:cstheme="majorBidi"/>
          <w:b/>
          <w:bCs/>
          <w:lang w:bidi="ar-EG"/>
        </w:rPr>
        <w:t>Shoman and Alaa.</w:t>
      </w:r>
      <w:r w:rsidR="006017EA">
        <w:rPr>
          <w:rFonts w:asciiTheme="majorBidi" w:hAnsiTheme="majorBidi" w:cstheme="majorBidi"/>
          <w:b/>
          <w:bCs/>
          <w:lang w:bidi="ar-EG"/>
        </w:rPr>
        <w:t xml:space="preserve"> </w:t>
      </w:r>
      <w:r w:rsidRPr="00EF2D25">
        <w:rPr>
          <w:rFonts w:asciiTheme="majorBidi" w:hAnsiTheme="majorBidi" w:cstheme="majorBidi"/>
          <w:b/>
          <w:bCs/>
          <w:lang w:bidi="ar-EG"/>
        </w:rPr>
        <w:t>E.</w:t>
      </w:r>
      <w:r w:rsidR="006017EA">
        <w:rPr>
          <w:rFonts w:asciiTheme="majorBidi" w:hAnsiTheme="majorBidi" w:cstheme="majorBidi"/>
          <w:b/>
          <w:bCs/>
          <w:lang w:bidi="ar-EG"/>
        </w:rPr>
        <w:t xml:space="preserve"> </w:t>
      </w:r>
      <w:r w:rsidRPr="00EF2D25">
        <w:rPr>
          <w:rFonts w:asciiTheme="majorBidi" w:hAnsiTheme="majorBidi" w:cstheme="majorBidi"/>
          <w:b/>
          <w:bCs/>
          <w:lang w:bidi="ar-EG"/>
        </w:rPr>
        <w:t>El-Talees</w:t>
      </w:r>
    </w:p>
    <w:p w:rsidR="007C7E93" w:rsidRPr="005727C4" w:rsidRDefault="007C7E93" w:rsidP="006017EA">
      <w:pPr>
        <w:bidi w:val="0"/>
        <w:spacing w:line="480" w:lineRule="auto"/>
        <w:contextualSpacing/>
        <w:jc w:val="both"/>
        <w:rPr>
          <w:rFonts w:asciiTheme="majorBidi" w:hAnsiTheme="majorBidi" w:cstheme="majorBidi"/>
          <w:sz w:val="28"/>
          <w:szCs w:val="28"/>
        </w:rPr>
      </w:pPr>
      <w:r w:rsidRPr="005727C4">
        <w:rPr>
          <w:rFonts w:asciiTheme="majorBidi" w:hAnsiTheme="majorBidi" w:cstheme="majorBidi"/>
          <w:b/>
          <w:bCs/>
          <w:sz w:val="28"/>
          <w:szCs w:val="28"/>
        </w:rPr>
        <w:t>Abstract</w:t>
      </w:r>
      <w:r w:rsidRPr="005727C4">
        <w:rPr>
          <w:rFonts w:asciiTheme="majorBidi" w:hAnsiTheme="majorBidi" w:cstheme="majorBidi"/>
          <w:sz w:val="28"/>
          <w:szCs w:val="28"/>
        </w:rPr>
        <w:t>:</w:t>
      </w:r>
    </w:p>
    <w:p w:rsidR="007C7E93" w:rsidRPr="00350CD0" w:rsidRDefault="007C7E93" w:rsidP="007F63AD">
      <w:pPr>
        <w:tabs>
          <w:tab w:val="left" w:pos="1181"/>
        </w:tabs>
        <w:bidi w:val="0"/>
        <w:spacing w:before="160" w:line="360" w:lineRule="auto"/>
        <w:jc w:val="both"/>
        <w:rPr>
          <w:rFonts w:asciiTheme="majorBidi" w:hAnsiTheme="majorBidi" w:cstheme="majorBidi"/>
          <w:sz w:val="24"/>
          <w:szCs w:val="24"/>
        </w:rPr>
      </w:pPr>
      <w:r w:rsidRPr="00350CD0">
        <w:rPr>
          <w:rFonts w:asciiTheme="majorBidi" w:hAnsiTheme="majorBidi" w:cstheme="majorBidi"/>
          <w:b/>
          <w:bCs/>
          <w:sz w:val="24"/>
          <w:szCs w:val="24"/>
        </w:rPr>
        <w:t>Background:</w:t>
      </w:r>
      <w:r w:rsidRPr="00350CD0">
        <w:rPr>
          <w:rFonts w:asciiTheme="majorBidi" w:hAnsiTheme="majorBidi" w:cstheme="majorBidi"/>
          <w:sz w:val="24"/>
          <w:szCs w:val="24"/>
        </w:rPr>
        <w:t xml:space="preserve"> </w:t>
      </w:r>
      <w:r w:rsidR="008966DC" w:rsidRPr="00350CD0">
        <w:rPr>
          <w:rFonts w:asciiTheme="majorBidi" w:hAnsiTheme="majorBidi" w:cstheme="majorBidi"/>
          <w:sz w:val="24"/>
          <w:szCs w:val="24"/>
          <w:shd w:val="clear" w:color="auto" w:fill="FFFFFF"/>
        </w:rPr>
        <w:t xml:space="preserve">Cardiovascular diseases and cancer remain leading causes of mortality in the world. </w:t>
      </w:r>
      <w:r w:rsidR="008966DC" w:rsidRPr="00350CD0">
        <w:rPr>
          <w:rFonts w:asciiTheme="majorBidi" w:hAnsiTheme="majorBidi" w:cstheme="majorBidi"/>
          <w:sz w:val="24"/>
          <w:szCs w:val="24"/>
        </w:rPr>
        <w:t>Doxorubicin (DOX) treatment is the primary cause of chemotherapy-induced cardiotoxic</w:t>
      </w:r>
      <w:r w:rsidR="001643CF" w:rsidRPr="00350CD0">
        <w:rPr>
          <w:rFonts w:asciiTheme="majorBidi" w:hAnsiTheme="majorBidi" w:cstheme="majorBidi"/>
          <w:sz w:val="24"/>
          <w:szCs w:val="24"/>
        </w:rPr>
        <w:t>ity.</w:t>
      </w:r>
      <w:r w:rsidR="008F3D1D" w:rsidRPr="00350CD0">
        <w:rPr>
          <w:rFonts w:asciiTheme="majorBidi" w:hAnsiTheme="majorBidi" w:cstheme="majorBidi"/>
          <w:sz w:val="24"/>
          <w:szCs w:val="24"/>
        </w:rPr>
        <w:t xml:space="preserve"> Sitagliptin (STG) has been shown to improve cardio</w:t>
      </w:r>
      <w:r w:rsidR="008F3D1D" w:rsidRPr="00350CD0">
        <w:rPr>
          <w:rFonts w:asciiTheme="majorBidi" w:hAnsiTheme="majorBidi" w:cstheme="majorBidi"/>
          <w:sz w:val="24"/>
          <w:szCs w:val="24"/>
          <w:shd w:val="clear" w:color="auto" w:fill="FFFFFF"/>
        </w:rPr>
        <w:t>vascular functions.</w:t>
      </w:r>
      <w:r w:rsidR="008F3D1D" w:rsidRPr="00350CD0">
        <w:rPr>
          <w:rFonts w:asciiTheme="majorBidi" w:hAnsiTheme="majorBidi" w:cstheme="majorBidi"/>
          <w:sz w:val="24"/>
          <w:szCs w:val="24"/>
        </w:rPr>
        <w:t xml:space="preserve"> Endothelial nitric oxide synthase (eNOS) is the major weapon of endothelial cells to fight vascular diseases as it generates nitric oxide (NO</w:t>
      </w:r>
      <w:r w:rsidR="008F3D1D" w:rsidRPr="00350CD0">
        <w:rPr>
          <w:rFonts w:asciiTheme="majorBidi" w:hAnsiTheme="majorBidi" w:cstheme="majorBidi"/>
          <w:b/>
          <w:bCs/>
          <w:sz w:val="24"/>
          <w:szCs w:val="24"/>
        </w:rPr>
        <w:t xml:space="preserve">). </w:t>
      </w:r>
      <w:r w:rsidRPr="00350CD0">
        <w:rPr>
          <w:rFonts w:asciiTheme="majorBidi" w:hAnsiTheme="majorBidi" w:cstheme="majorBidi"/>
          <w:b/>
          <w:bCs/>
          <w:sz w:val="24"/>
          <w:szCs w:val="24"/>
        </w:rPr>
        <w:t xml:space="preserve">Aim: </w:t>
      </w:r>
      <w:r w:rsidRPr="00350CD0">
        <w:rPr>
          <w:rFonts w:asciiTheme="majorBidi" w:hAnsiTheme="majorBidi" w:cstheme="majorBidi"/>
          <w:sz w:val="24"/>
          <w:szCs w:val="24"/>
        </w:rPr>
        <w:t xml:space="preserve">The aim of this study was </w:t>
      </w:r>
      <w:r w:rsidRPr="00350CD0">
        <w:rPr>
          <w:rFonts w:asciiTheme="majorBidi" w:hAnsiTheme="majorBidi" w:cstheme="majorBidi"/>
          <w:sz w:val="24"/>
          <w:szCs w:val="24"/>
          <w:lang w:bidi="ar-EG"/>
        </w:rPr>
        <w:t xml:space="preserve">to </w:t>
      </w:r>
      <w:r w:rsidR="008F3D1D" w:rsidRPr="00350CD0">
        <w:rPr>
          <w:rFonts w:asciiTheme="majorBidi" w:hAnsiTheme="majorBidi" w:cstheme="majorBidi"/>
          <w:sz w:val="24"/>
          <w:szCs w:val="24"/>
        </w:rPr>
        <w:t>evaluate the cardi</w:t>
      </w:r>
      <w:r w:rsidRPr="00350CD0">
        <w:rPr>
          <w:rFonts w:asciiTheme="majorBidi" w:hAnsiTheme="majorBidi" w:cstheme="majorBidi"/>
          <w:sz w:val="24"/>
          <w:szCs w:val="24"/>
        </w:rPr>
        <w:t xml:space="preserve">otoxic effect of </w:t>
      </w:r>
      <w:r w:rsidR="008F3D1D" w:rsidRPr="00350CD0">
        <w:rPr>
          <w:rFonts w:asciiTheme="majorBidi" w:hAnsiTheme="majorBidi" w:cstheme="majorBidi"/>
          <w:sz w:val="24"/>
          <w:szCs w:val="24"/>
        </w:rPr>
        <w:t>DOX</w:t>
      </w:r>
      <w:r w:rsidRPr="00350CD0">
        <w:rPr>
          <w:rFonts w:asciiTheme="majorBidi" w:hAnsiTheme="majorBidi" w:cstheme="majorBidi"/>
          <w:sz w:val="24"/>
          <w:szCs w:val="24"/>
        </w:rPr>
        <w:t xml:space="preserve"> on </w:t>
      </w:r>
      <w:r w:rsidR="008F3D1D" w:rsidRPr="00350CD0">
        <w:rPr>
          <w:rFonts w:asciiTheme="majorBidi" w:hAnsiTheme="majorBidi" w:cstheme="majorBidi"/>
          <w:sz w:val="24"/>
          <w:szCs w:val="24"/>
        </w:rPr>
        <w:t>heart</w:t>
      </w:r>
      <w:r w:rsidRPr="00350CD0">
        <w:rPr>
          <w:rFonts w:asciiTheme="majorBidi" w:hAnsiTheme="majorBidi" w:cstheme="majorBidi"/>
          <w:sz w:val="24"/>
          <w:szCs w:val="24"/>
        </w:rPr>
        <w:t xml:space="preserve"> of adult male albino rats and the possible role of </w:t>
      </w:r>
      <w:r w:rsidR="008F3D1D" w:rsidRPr="00350CD0">
        <w:rPr>
          <w:rFonts w:asciiTheme="majorBidi" w:hAnsiTheme="majorBidi" w:cstheme="majorBidi"/>
          <w:sz w:val="24"/>
          <w:szCs w:val="24"/>
        </w:rPr>
        <w:t>STG</w:t>
      </w:r>
      <w:r w:rsidRPr="00350CD0">
        <w:rPr>
          <w:rFonts w:asciiTheme="majorBidi" w:hAnsiTheme="majorBidi" w:cstheme="majorBidi"/>
          <w:sz w:val="24"/>
          <w:szCs w:val="24"/>
        </w:rPr>
        <w:t>, targeting the role of</w:t>
      </w:r>
      <w:r w:rsidRPr="00350CD0">
        <w:rPr>
          <w:rStyle w:val="Strong"/>
          <w:rFonts w:asciiTheme="majorBidi" w:hAnsiTheme="majorBidi" w:cstheme="majorBidi"/>
          <w:sz w:val="24"/>
          <w:szCs w:val="24"/>
        </w:rPr>
        <w:t xml:space="preserve"> </w:t>
      </w:r>
      <w:r w:rsidR="005471BE" w:rsidRPr="00350CD0">
        <w:rPr>
          <w:rFonts w:asciiTheme="majorBidi" w:hAnsiTheme="majorBidi" w:cstheme="majorBidi"/>
          <w:sz w:val="24"/>
          <w:szCs w:val="24"/>
        </w:rPr>
        <w:t>eNOS</w:t>
      </w:r>
      <w:r w:rsidR="00883873" w:rsidRPr="00350CD0">
        <w:rPr>
          <w:rFonts w:asciiTheme="majorBidi" w:hAnsiTheme="majorBidi" w:cstheme="majorBidi"/>
          <w:b/>
          <w:bCs/>
          <w:sz w:val="24"/>
          <w:szCs w:val="24"/>
          <w:lang w:bidi="ar-EG"/>
        </w:rPr>
        <w:t xml:space="preserve">. </w:t>
      </w:r>
      <w:r w:rsidRPr="00350CD0">
        <w:rPr>
          <w:rFonts w:asciiTheme="majorBidi" w:hAnsiTheme="majorBidi" w:cstheme="majorBidi"/>
          <w:b/>
          <w:bCs/>
          <w:sz w:val="24"/>
          <w:szCs w:val="24"/>
          <w:lang w:bidi="ar-EG"/>
        </w:rPr>
        <w:t>Method</w:t>
      </w:r>
      <w:r w:rsidR="006C17F4" w:rsidRPr="00350CD0">
        <w:rPr>
          <w:rFonts w:asciiTheme="majorBidi" w:hAnsiTheme="majorBidi" w:cstheme="majorBidi"/>
          <w:b/>
          <w:bCs/>
          <w:sz w:val="24"/>
          <w:szCs w:val="24"/>
          <w:lang w:bidi="ar-EG"/>
        </w:rPr>
        <w:t>s</w:t>
      </w:r>
      <w:r w:rsidRPr="00350CD0">
        <w:rPr>
          <w:rFonts w:asciiTheme="majorBidi" w:hAnsiTheme="majorBidi" w:cstheme="majorBidi"/>
          <w:b/>
          <w:bCs/>
          <w:sz w:val="24"/>
          <w:szCs w:val="24"/>
          <w:lang w:bidi="ar-EG"/>
        </w:rPr>
        <w:t>:</w:t>
      </w:r>
      <w:r w:rsidRPr="00350CD0">
        <w:rPr>
          <w:rFonts w:asciiTheme="majorBidi" w:hAnsiTheme="majorBidi" w:cstheme="majorBidi"/>
          <w:sz w:val="24"/>
          <w:szCs w:val="24"/>
          <w:lang w:bidi="ar-EG"/>
        </w:rPr>
        <w:t xml:space="preserve"> </w:t>
      </w:r>
      <w:r w:rsidR="00A540A3" w:rsidRPr="00350CD0">
        <w:rPr>
          <w:rFonts w:asciiTheme="majorBidi" w:hAnsiTheme="majorBidi" w:cstheme="majorBidi"/>
          <w:sz w:val="24"/>
          <w:szCs w:val="24"/>
        </w:rPr>
        <w:t>The effect of DOX</w:t>
      </w:r>
      <w:r w:rsidRPr="00350CD0">
        <w:rPr>
          <w:rFonts w:asciiTheme="majorBidi" w:hAnsiTheme="majorBidi" w:cstheme="majorBidi"/>
          <w:sz w:val="24"/>
          <w:szCs w:val="24"/>
        </w:rPr>
        <w:t xml:space="preserve"> on albino rats was studied by estimating</w:t>
      </w:r>
      <w:r w:rsidR="00883873" w:rsidRPr="00350CD0">
        <w:rPr>
          <w:rFonts w:asciiTheme="majorBidi" w:hAnsiTheme="majorBidi" w:cstheme="majorBidi"/>
          <w:sz w:val="24"/>
          <w:szCs w:val="24"/>
          <w:lang w:bidi="ar-EG"/>
        </w:rPr>
        <w:t xml:space="preserve"> </w:t>
      </w:r>
      <w:r w:rsidR="009B6884" w:rsidRPr="00350CD0">
        <w:rPr>
          <w:rFonts w:asciiTheme="majorBidi" w:hAnsiTheme="majorBidi" w:cstheme="majorBidi"/>
          <w:sz w:val="24"/>
          <w:szCs w:val="24"/>
        </w:rPr>
        <w:t>systolic blood pressure</w:t>
      </w:r>
      <w:r w:rsidR="005D0A2C" w:rsidRPr="00350CD0">
        <w:rPr>
          <w:rFonts w:asciiTheme="majorBidi" w:hAnsiTheme="majorBidi" w:cstheme="majorBidi"/>
          <w:sz w:val="24"/>
          <w:szCs w:val="24"/>
        </w:rPr>
        <w:t xml:space="preserve"> </w:t>
      </w:r>
      <w:r w:rsidR="009B6884" w:rsidRPr="00350CD0">
        <w:rPr>
          <w:rFonts w:asciiTheme="majorBidi" w:hAnsiTheme="majorBidi" w:cstheme="majorBidi"/>
          <w:sz w:val="24"/>
          <w:szCs w:val="24"/>
        </w:rPr>
        <w:t>(</w:t>
      </w:r>
      <w:r w:rsidR="0015431E" w:rsidRPr="00350CD0">
        <w:rPr>
          <w:rFonts w:asciiTheme="majorBidi" w:hAnsiTheme="majorBidi" w:cstheme="majorBidi"/>
          <w:sz w:val="24"/>
          <w:szCs w:val="24"/>
        </w:rPr>
        <w:t>S</w:t>
      </w:r>
      <w:r w:rsidR="009B6884" w:rsidRPr="00350CD0">
        <w:rPr>
          <w:rFonts w:asciiTheme="majorBidi" w:hAnsiTheme="majorBidi" w:cstheme="majorBidi"/>
          <w:sz w:val="24"/>
          <w:szCs w:val="24"/>
        </w:rPr>
        <w:t>BP</w:t>
      </w:r>
      <w:r w:rsidR="009652DF" w:rsidRPr="00350CD0">
        <w:rPr>
          <w:rFonts w:asciiTheme="majorBidi" w:hAnsiTheme="majorBidi" w:cstheme="majorBidi"/>
          <w:sz w:val="24"/>
          <w:szCs w:val="24"/>
        </w:rPr>
        <w:t xml:space="preserve">) </w:t>
      </w:r>
      <w:r w:rsidR="00883873" w:rsidRPr="00350CD0">
        <w:rPr>
          <w:rFonts w:asciiTheme="majorBidi" w:hAnsiTheme="majorBidi" w:cstheme="majorBidi"/>
          <w:sz w:val="24"/>
          <w:szCs w:val="24"/>
        </w:rPr>
        <w:t>,</w:t>
      </w:r>
      <w:r w:rsidR="009B6884" w:rsidRPr="00350CD0">
        <w:rPr>
          <w:rFonts w:asciiTheme="majorBidi" w:hAnsiTheme="majorBidi" w:cstheme="majorBidi"/>
          <w:sz w:val="24"/>
          <w:szCs w:val="24"/>
        </w:rPr>
        <w:t xml:space="preserve"> diastolic blood pressure (</w:t>
      </w:r>
      <w:r w:rsidR="0015431E" w:rsidRPr="00350CD0">
        <w:rPr>
          <w:rFonts w:asciiTheme="majorBidi" w:hAnsiTheme="majorBidi" w:cstheme="majorBidi"/>
          <w:sz w:val="24"/>
          <w:szCs w:val="24"/>
        </w:rPr>
        <w:t>DBP</w:t>
      </w:r>
      <w:r w:rsidR="009B6884" w:rsidRPr="00350CD0">
        <w:rPr>
          <w:rFonts w:asciiTheme="majorBidi" w:hAnsiTheme="majorBidi" w:cstheme="majorBidi"/>
          <w:sz w:val="24"/>
          <w:szCs w:val="24"/>
        </w:rPr>
        <w:t xml:space="preserve">) </w:t>
      </w:r>
      <w:r w:rsidR="0015431E" w:rsidRPr="00350CD0">
        <w:rPr>
          <w:rFonts w:asciiTheme="majorBidi" w:hAnsiTheme="majorBidi" w:cstheme="majorBidi"/>
          <w:sz w:val="24"/>
          <w:szCs w:val="24"/>
        </w:rPr>
        <w:t>,</w:t>
      </w:r>
      <w:r w:rsidR="00883873" w:rsidRPr="00350CD0">
        <w:rPr>
          <w:rFonts w:asciiTheme="majorBidi" w:hAnsiTheme="majorBidi" w:cstheme="majorBidi"/>
          <w:sz w:val="24"/>
          <w:szCs w:val="24"/>
        </w:rPr>
        <w:t xml:space="preserve"> </w:t>
      </w:r>
      <w:bookmarkStart w:id="0" w:name="OLE_LINK3"/>
      <w:bookmarkStart w:id="1" w:name="OLE_LINK4"/>
      <w:r w:rsidR="00883873" w:rsidRPr="00350CD0">
        <w:rPr>
          <w:rFonts w:asciiTheme="majorBidi" w:hAnsiTheme="majorBidi" w:cstheme="majorBidi"/>
          <w:sz w:val="24"/>
          <w:szCs w:val="24"/>
        </w:rPr>
        <w:t xml:space="preserve">E.C.G recording, Serum </w:t>
      </w:r>
      <w:bookmarkEnd w:id="0"/>
      <w:bookmarkEnd w:id="1"/>
      <w:r w:rsidR="00883873" w:rsidRPr="00350CD0">
        <w:rPr>
          <w:rFonts w:asciiTheme="majorBidi" w:hAnsiTheme="majorBidi" w:cstheme="majorBidi"/>
          <w:sz w:val="24"/>
          <w:szCs w:val="24"/>
        </w:rPr>
        <w:t xml:space="preserve">levels of </w:t>
      </w:r>
      <w:r w:rsidR="00CC30D7" w:rsidRPr="00350CD0">
        <w:rPr>
          <w:rFonts w:asciiTheme="majorBidi" w:hAnsiTheme="majorBidi" w:cstheme="majorBidi"/>
          <w:sz w:val="24"/>
          <w:szCs w:val="24"/>
        </w:rPr>
        <w:t>c</w:t>
      </w:r>
      <w:r w:rsidR="005B1369" w:rsidRPr="00350CD0">
        <w:rPr>
          <w:rFonts w:asciiTheme="majorBidi" w:hAnsiTheme="majorBidi" w:cstheme="majorBidi"/>
          <w:sz w:val="24"/>
          <w:szCs w:val="24"/>
        </w:rPr>
        <w:t>reatine phosphokinase MB (</w:t>
      </w:r>
      <w:r w:rsidR="00883873" w:rsidRPr="00350CD0">
        <w:rPr>
          <w:rFonts w:asciiTheme="majorBidi" w:hAnsiTheme="majorBidi" w:cstheme="majorBidi"/>
          <w:sz w:val="24"/>
          <w:szCs w:val="24"/>
        </w:rPr>
        <w:t>CK-MB</w:t>
      </w:r>
      <w:r w:rsidR="005B1369" w:rsidRPr="00350CD0">
        <w:rPr>
          <w:rFonts w:asciiTheme="majorBidi" w:hAnsiTheme="majorBidi" w:cstheme="majorBidi"/>
          <w:sz w:val="24"/>
          <w:szCs w:val="24"/>
        </w:rPr>
        <w:t>)</w:t>
      </w:r>
      <w:r w:rsidR="00883873" w:rsidRPr="00350CD0">
        <w:rPr>
          <w:rFonts w:asciiTheme="majorBidi" w:hAnsiTheme="majorBidi" w:cstheme="majorBidi"/>
          <w:sz w:val="24"/>
          <w:szCs w:val="24"/>
        </w:rPr>
        <w:t xml:space="preserve">, </w:t>
      </w:r>
      <w:r w:rsidR="00CC30D7" w:rsidRPr="00350CD0">
        <w:rPr>
          <w:rFonts w:asciiTheme="majorBidi" w:hAnsiTheme="majorBidi" w:cstheme="majorBidi"/>
          <w:sz w:val="24"/>
          <w:szCs w:val="24"/>
        </w:rPr>
        <w:t>l</w:t>
      </w:r>
      <w:r w:rsidR="001769AF" w:rsidRPr="00350CD0">
        <w:rPr>
          <w:rFonts w:asciiTheme="majorBidi" w:hAnsiTheme="majorBidi" w:cstheme="majorBidi"/>
          <w:sz w:val="24"/>
          <w:szCs w:val="24"/>
        </w:rPr>
        <w:t>actate dehydrogenase (</w:t>
      </w:r>
      <w:r w:rsidR="00883873" w:rsidRPr="00350CD0">
        <w:rPr>
          <w:rFonts w:asciiTheme="majorBidi" w:hAnsiTheme="majorBidi" w:cstheme="majorBidi"/>
          <w:sz w:val="24"/>
          <w:szCs w:val="24"/>
        </w:rPr>
        <w:t>LDH</w:t>
      </w:r>
      <w:r w:rsidR="001769AF" w:rsidRPr="00350CD0">
        <w:rPr>
          <w:rFonts w:asciiTheme="majorBidi" w:hAnsiTheme="majorBidi" w:cstheme="majorBidi"/>
          <w:sz w:val="24"/>
          <w:szCs w:val="24"/>
        </w:rPr>
        <w:t>)</w:t>
      </w:r>
      <w:r w:rsidR="00883873" w:rsidRPr="00350CD0">
        <w:rPr>
          <w:rFonts w:asciiTheme="majorBidi" w:hAnsiTheme="majorBidi" w:cstheme="majorBidi"/>
          <w:sz w:val="24"/>
          <w:szCs w:val="24"/>
        </w:rPr>
        <w:t xml:space="preserve">, </w:t>
      </w:r>
      <w:r w:rsidR="00CC30D7" w:rsidRPr="00350CD0">
        <w:rPr>
          <w:rFonts w:asciiTheme="majorBidi" w:hAnsiTheme="majorBidi" w:cstheme="majorBidi"/>
          <w:sz w:val="24"/>
          <w:szCs w:val="24"/>
        </w:rPr>
        <w:t>s</w:t>
      </w:r>
      <w:r w:rsidR="001769AF" w:rsidRPr="00350CD0">
        <w:rPr>
          <w:rFonts w:asciiTheme="majorBidi" w:hAnsiTheme="majorBidi" w:cstheme="majorBidi"/>
          <w:sz w:val="24"/>
          <w:szCs w:val="24"/>
        </w:rPr>
        <w:t>uperoxide dismutase (</w:t>
      </w:r>
      <w:r w:rsidR="00883873" w:rsidRPr="00350CD0">
        <w:rPr>
          <w:rFonts w:asciiTheme="majorBidi" w:hAnsiTheme="majorBidi" w:cstheme="majorBidi"/>
          <w:sz w:val="24"/>
          <w:szCs w:val="24"/>
        </w:rPr>
        <w:t>SOD</w:t>
      </w:r>
      <w:r w:rsidR="001769AF" w:rsidRPr="00350CD0">
        <w:rPr>
          <w:rFonts w:asciiTheme="majorBidi" w:hAnsiTheme="majorBidi" w:cstheme="majorBidi"/>
          <w:sz w:val="24"/>
          <w:szCs w:val="24"/>
        </w:rPr>
        <w:t>)</w:t>
      </w:r>
      <w:r w:rsidR="00883873" w:rsidRPr="00350CD0">
        <w:rPr>
          <w:rFonts w:asciiTheme="majorBidi" w:hAnsiTheme="majorBidi" w:cstheme="majorBidi"/>
          <w:sz w:val="24"/>
          <w:szCs w:val="24"/>
        </w:rPr>
        <w:t xml:space="preserve">, </w:t>
      </w:r>
      <w:r w:rsidR="00CC30D7" w:rsidRPr="00350CD0">
        <w:rPr>
          <w:rFonts w:asciiTheme="majorBidi" w:hAnsiTheme="majorBidi" w:cstheme="majorBidi"/>
          <w:sz w:val="24"/>
          <w:szCs w:val="24"/>
        </w:rPr>
        <w:t>m</w:t>
      </w:r>
      <w:r w:rsidR="005B1369" w:rsidRPr="00350CD0">
        <w:rPr>
          <w:rFonts w:asciiTheme="majorBidi" w:hAnsiTheme="majorBidi" w:cstheme="majorBidi"/>
          <w:sz w:val="24"/>
          <w:szCs w:val="24"/>
        </w:rPr>
        <w:t>alondialdeh</w:t>
      </w:r>
      <w:r w:rsidR="00CC30D7" w:rsidRPr="00350CD0">
        <w:rPr>
          <w:rFonts w:asciiTheme="majorBidi" w:hAnsiTheme="majorBidi" w:cstheme="majorBidi"/>
          <w:sz w:val="24"/>
          <w:szCs w:val="24"/>
        </w:rPr>
        <w:t>y</w:t>
      </w:r>
      <w:r w:rsidR="005B1369" w:rsidRPr="00350CD0">
        <w:rPr>
          <w:rFonts w:asciiTheme="majorBidi" w:hAnsiTheme="majorBidi" w:cstheme="majorBidi"/>
          <w:sz w:val="24"/>
          <w:szCs w:val="24"/>
        </w:rPr>
        <w:t xml:space="preserve">de </w:t>
      </w:r>
      <w:r w:rsidR="001769AF" w:rsidRPr="00350CD0">
        <w:rPr>
          <w:rFonts w:asciiTheme="majorBidi" w:hAnsiTheme="majorBidi" w:cstheme="majorBidi"/>
          <w:sz w:val="24"/>
          <w:szCs w:val="24"/>
        </w:rPr>
        <w:t>(</w:t>
      </w:r>
      <w:r w:rsidR="00883873" w:rsidRPr="00350CD0">
        <w:rPr>
          <w:rFonts w:asciiTheme="majorBidi" w:hAnsiTheme="majorBidi" w:cstheme="majorBidi"/>
          <w:sz w:val="24"/>
          <w:szCs w:val="24"/>
        </w:rPr>
        <w:t>MDA</w:t>
      </w:r>
      <w:r w:rsidR="001769AF" w:rsidRPr="00350CD0">
        <w:rPr>
          <w:rFonts w:asciiTheme="majorBidi" w:hAnsiTheme="majorBidi" w:cstheme="majorBidi"/>
          <w:sz w:val="24"/>
          <w:szCs w:val="24"/>
        </w:rPr>
        <w:t>)</w:t>
      </w:r>
      <w:r w:rsidR="00CC30D7" w:rsidRPr="00350CD0">
        <w:rPr>
          <w:rFonts w:asciiTheme="majorBidi" w:hAnsiTheme="majorBidi" w:cstheme="majorBidi"/>
          <w:sz w:val="24"/>
          <w:szCs w:val="24"/>
        </w:rPr>
        <w:t>,</w:t>
      </w:r>
      <w:r w:rsidR="00883873" w:rsidRPr="00350CD0">
        <w:rPr>
          <w:rFonts w:asciiTheme="majorBidi" w:hAnsiTheme="majorBidi" w:cstheme="majorBidi"/>
          <w:sz w:val="24"/>
          <w:szCs w:val="24"/>
        </w:rPr>
        <w:t xml:space="preserve"> cardiac t</w:t>
      </w:r>
      <w:r w:rsidR="009B3CA1" w:rsidRPr="00350CD0">
        <w:rPr>
          <w:rFonts w:asciiTheme="majorBidi" w:hAnsiTheme="majorBidi" w:cstheme="majorBidi"/>
          <w:sz w:val="24"/>
          <w:szCs w:val="24"/>
        </w:rPr>
        <w:t>issue level of NO</w:t>
      </w:r>
      <w:r w:rsidRPr="00350CD0">
        <w:rPr>
          <w:rFonts w:asciiTheme="majorBidi" w:hAnsiTheme="majorBidi" w:cstheme="majorBidi"/>
          <w:sz w:val="24"/>
          <w:szCs w:val="24"/>
          <w:lang w:bidi="ar-EG"/>
        </w:rPr>
        <w:t xml:space="preserve">. </w:t>
      </w:r>
      <w:r w:rsidRPr="00350CD0">
        <w:rPr>
          <w:rFonts w:asciiTheme="majorBidi" w:hAnsiTheme="majorBidi" w:cstheme="majorBidi"/>
          <w:b/>
          <w:bCs/>
          <w:sz w:val="24"/>
          <w:szCs w:val="24"/>
        </w:rPr>
        <w:t xml:space="preserve">Results: </w:t>
      </w:r>
      <w:r w:rsidR="0015431E" w:rsidRPr="00350CD0">
        <w:rPr>
          <w:rFonts w:ascii="Times New Roman" w:hAnsi="Times New Roman" w:cs="Times New Roman"/>
          <w:sz w:val="24"/>
          <w:szCs w:val="24"/>
        </w:rPr>
        <w:t xml:space="preserve"> DOX injection resulted in significant increases in both SBP and DBP, significant ST segment elevation and significant increases in serum levels of </w:t>
      </w:r>
      <w:bookmarkStart w:id="2" w:name="OLE_LINK15"/>
      <w:bookmarkStart w:id="3" w:name="OLE_LINK16"/>
      <w:r w:rsidR="0015431E" w:rsidRPr="00350CD0">
        <w:rPr>
          <w:rFonts w:ascii="Times New Roman" w:hAnsi="Times New Roman" w:cs="Times New Roman"/>
          <w:sz w:val="24"/>
          <w:szCs w:val="24"/>
        </w:rPr>
        <w:t xml:space="preserve">CK-MB, LDH and MDA </w:t>
      </w:r>
      <w:bookmarkEnd w:id="2"/>
      <w:bookmarkEnd w:id="3"/>
      <w:r w:rsidR="0015431E" w:rsidRPr="00350CD0">
        <w:rPr>
          <w:rFonts w:ascii="Times New Roman" w:hAnsi="Times New Roman" w:cs="Times New Roman"/>
          <w:sz w:val="24"/>
          <w:szCs w:val="24"/>
        </w:rPr>
        <w:t>associated with significant decreases in heart rate, cardiac NO levels and serum SOD levels as compared with the control group.</w:t>
      </w:r>
      <w:r w:rsidR="004B79C6" w:rsidRPr="00350CD0">
        <w:rPr>
          <w:rFonts w:ascii="Times New Roman" w:hAnsi="Times New Roman" w:cs="Times New Roman"/>
          <w:sz w:val="24"/>
          <w:szCs w:val="24"/>
        </w:rPr>
        <w:t xml:space="preserve"> </w:t>
      </w:r>
      <w:r w:rsidR="0015431E" w:rsidRPr="00350CD0">
        <w:rPr>
          <w:rFonts w:ascii="Times New Roman" w:hAnsi="Times New Roman" w:cs="Times New Roman"/>
          <w:sz w:val="24"/>
          <w:szCs w:val="24"/>
          <w:lang w:bidi="ar-EG"/>
        </w:rPr>
        <w:t>STG administration reverse</w:t>
      </w:r>
      <w:r w:rsidR="005B2483" w:rsidRPr="00350CD0">
        <w:rPr>
          <w:rFonts w:ascii="Times New Roman" w:hAnsi="Times New Roman" w:cs="Times New Roman"/>
          <w:sz w:val="24"/>
          <w:szCs w:val="24"/>
          <w:lang w:bidi="ar-EG"/>
        </w:rPr>
        <w:t>d the aforementioned parameters</w:t>
      </w:r>
      <w:r w:rsidR="0015431E" w:rsidRPr="00350CD0">
        <w:rPr>
          <w:rFonts w:asciiTheme="majorBidi" w:hAnsiTheme="majorBidi" w:cstheme="majorBidi"/>
          <w:sz w:val="24"/>
          <w:szCs w:val="24"/>
        </w:rPr>
        <w:t>.</w:t>
      </w:r>
      <w:r w:rsidR="005B2483" w:rsidRPr="00350CD0">
        <w:rPr>
          <w:rFonts w:asciiTheme="majorBidi" w:hAnsiTheme="majorBidi" w:cstheme="majorBidi"/>
          <w:sz w:val="24"/>
          <w:szCs w:val="24"/>
          <w:lang w:bidi="ar-EG"/>
        </w:rPr>
        <w:t xml:space="preserve"> </w:t>
      </w:r>
      <w:r w:rsidR="00CC30D7" w:rsidRPr="00350CD0">
        <w:rPr>
          <w:rFonts w:asciiTheme="majorBidi" w:hAnsiTheme="majorBidi" w:cstheme="majorBidi"/>
          <w:sz w:val="24"/>
          <w:szCs w:val="24"/>
          <w:lang w:bidi="ar-EG"/>
        </w:rPr>
        <w:t xml:space="preserve">STG administration </w:t>
      </w:r>
      <w:r w:rsidR="0015431E" w:rsidRPr="00350CD0">
        <w:rPr>
          <w:rFonts w:asciiTheme="majorBidi" w:hAnsiTheme="majorBidi" w:cstheme="majorBidi"/>
          <w:sz w:val="24"/>
          <w:szCs w:val="24"/>
          <w:lang w:bidi="ar-EG"/>
        </w:rPr>
        <w:t xml:space="preserve">with </w:t>
      </w:r>
      <w:r w:rsidR="005B1369" w:rsidRPr="00350CD0">
        <w:rPr>
          <w:rFonts w:asciiTheme="majorBidi" w:hAnsiTheme="majorBidi" w:cstheme="majorBidi"/>
          <w:sz w:val="24"/>
          <w:szCs w:val="24"/>
        </w:rPr>
        <w:t>NG-Nitro arginine methyl ester (L-NAME)</w:t>
      </w:r>
      <w:r w:rsidR="005B1369" w:rsidRPr="00350CD0">
        <w:rPr>
          <w:rFonts w:ascii="Times New Roman" w:hAnsi="Times New Roman" w:cs="Times New Roman"/>
          <w:sz w:val="24"/>
          <w:szCs w:val="24"/>
          <w:lang w:bidi="ar-EG"/>
        </w:rPr>
        <w:t xml:space="preserve"> </w:t>
      </w:r>
      <w:r w:rsidR="00CC30D7" w:rsidRPr="00350CD0">
        <w:rPr>
          <w:rFonts w:ascii="Times New Roman" w:hAnsi="Times New Roman" w:cs="Times New Roman"/>
          <w:sz w:val="24"/>
          <w:szCs w:val="24"/>
          <w:lang w:bidi="ar-EG"/>
        </w:rPr>
        <w:t>and DOX reverse</w:t>
      </w:r>
      <w:r w:rsidR="0015431E" w:rsidRPr="00350CD0">
        <w:rPr>
          <w:rFonts w:ascii="Times New Roman" w:hAnsi="Times New Roman" w:cs="Times New Roman"/>
          <w:sz w:val="24"/>
          <w:szCs w:val="24"/>
          <w:lang w:bidi="ar-EG"/>
        </w:rPr>
        <w:t xml:space="preserve"> STG</w:t>
      </w:r>
      <w:r w:rsidR="005B2483" w:rsidRPr="00350CD0">
        <w:rPr>
          <w:rFonts w:ascii="Times New Roman" w:hAnsi="Times New Roman" w:cs="Times New Roman"/>
          <w:sz w:val="24"/>
          <w:szCs w:val="24"/>
          <w:lang w:bidi="ar-EG"/>
        </w:rPr>
        <w:t xml:space="preserve"> protective effects</w:t>
      </w:r>
      <w:r w:rsidR="0015431E" w:rsidRPr="00350CD0">
        <w:rPr>
          <w:rFonts w:ascii="Times New Roman" w:hAnsi="Times New Roman" w:cs="Times New Roman"/>
          <w:sz w:val="24"/>
          <w:szCs w:val="24"/>
          <w:lang w:bidi="ar-EG"/>
        </w:rPr>
        <w:t>.</w:t>
      </w:r>
      <w:r w:rsidR="0015431E" w:rsidRPr="00350CD0">
        <w:rPr>
          <w:rFonts w:asciiTheme="majorBidi" w:hAnsiTheme="majorBidi" w:cstheme="majorBidi"/>
          <w:b/>
          <w:bCs/>
          <w:sz w:val="24"/>
          <w:szCs w:val="24"/>
        </w:rPr>
        <w:t xml:space="preserve"> </w:t>
      </w:r>
      <w:r w:rsidRPr="00350CD0">
        <w:rPr>
          <w:rFonts w:asciiTheme="majorBidi" w:hAnsiTheme="majorBidi" w:cstheme="majorBidi"/>
          <w:b/>
          <w:bCs/>
          <w:sz w:val="24"/>
          <w:szCs w:val="24"/>
        </w:rPr>
        <w:t>Conclusion:</w:t>
      </w:r>
      <w:r w:rsidRPr="00350CD0">
        <w:rPr>
          <w:rFonts w:asciiTheme="majorBidi" w:hAnsiTheme="majorBidi" w:cstheme="majorBidi"/>
          <w:sz w:val="24"/>
          <w:szCs w:val="24"/>
        </w:rPr>
        <w:t xml:space="preserve"> </w:t>
      </w:r>
      <w:r w:rsidR="00C9600D" w:rsidRPr="00350CD0">
        <w:rPr>
          <w:rFonts w:ascii="Times New Roman" w:hAnsi="Times New Roman" w:cs="Times New Roman"/>
          <w:sz w:val="24"/>
          <w:szCs w:val="24"/>
          <w:lang w:bidi="ar-EG"/>
        </w:rPr>
        <w:t>STG administration can exer</w:t>
      </w:r>
      <w:r w:rsidR="002F1A40" w:rsidRPr="00350CD0">
        <w:rPr>
          <w:rFonts w:ascii="Times New Roman" w:hAnsi="Times New Roman" w:cs="Times New Roman"/>
          <w:sz w:val="24"/>
          <w:szCs w:val="24"/>
          <w:lang w:bidi="ar-EG"/>
        </w:rPr>
        <w:t xml:space="preserve">t protective effects against doxorubicin induced cardiac toxicity </w:t>
      </w:r>
      <w:r w:rsidR="00C9600D" w:rsidRPr="00350CD0">
        <w:rPr>
          <w:rFonts w:ascii="Times New Roman" w:hAnsi="Times New Roman" w:cs="Times New Roman"/>
          <w:sz w:val="24"/>
          <w:szCs w:val="24"/>
          <w:lang w:bidi="ar-EG"/>
        </w:rPr>
        <w:t xml:space="preserve">through the increase in cardiac NO and e-NOS </w:t>
      </w:r>
      <w:r w:rsidR="00FA2543" w:rsidRPr="00350CD0">
        <w:rPr>
          <w:rFonts w:ascii="Times New Roman" w:hAnsi="Times New Roman" w:cs="Times New Roman"/>
          <w:sz w:val="24"/>
          <w:szCs w:val="24"/>
          <w:lang w:bidi="ar-EG"/>
        </w:rPr>
        <w:t>while its administration with</w:t>
      </w:r>
      <w:r w:rsidR="005B1369" w:rsidRPr="00350CD0">
        <w:rPr>
          <w:rFonts w:ascii="Times New Roman" w:hAnsi="Times New Roman" w:cs="Times New Roman"/>
          <w:sz w:val="24"/>
          <w:szCs w:val="24"/>
          <w:lang w:bidi="ar-EG"/>
        </w:rPr>
        <w:t xml:space="preserve"> L-NAME</w:t>
      </w:r>
      <w:r w:rsidR="00FA2543" w:rsidRPr="00350CD0">
        <w:rPr>
          <w:rFonts w:ascii="Times New Roman" w:hAnsi="Times New Roman" w:cs="Times New Roman"/>
          <w:sz w:val="24"/>
          <w:szCs w:val="24"/>
          <w:lang w:bidi="ar-EG"/>
        </w:rPr>
        <w:t xml:space="preserve"> </w:t>
      </w:r>
      <w:r w:rsidR="00C9600D" w:rsidRPr="00350CD0">
        <w:rPr>
          <w:rFonts w:ascii="Times New Roman" w:hAnsi="Times New Roman" w:cs="Times New Roman"/>
          <w:sz w:val="24"/>
          <w:szCs w:val="24"/>
          <w:lang w:bidi="ar-EG"/>
        </w:rPr>
        <w:t>reverse these effects.</w:t>
      </w:r>
    </w:p>
    <w:p w:rsidR="007C7E93" w:rsidRPr="00571A5F" w:rsidRDefault="007C7E93" w:rsidP="006017EA">
      <w:pPr>
        <w:bidi w:val="0"/>
        <w:spacing w:line="480" w:lineRule="auto"/>
        <w:contextualSpacing/>
        <w:jc w:val="both"/>
        <w:rPr>
          <w:rFonts w:asciiTheme="majorBidi" w:hAnsiTheme="majorBidi" w:cstheme="majorBidi"/>
          <w:sz w:val="24"/>
          <w:szCs w:val="24"/>
          <w:lang w:bidi="ar-EG"/>
        </w:rPr>
      </w:pPr>
      <w:r w:rsidRPr="00571A5F">
        <w:rPr>
          <w:rFonts w:asciiTheme="majorBidi" w:hAnsiTheme="majorBidi" w:cstheme="majorBidi"/>
          <w:b/>
          <w:bCs/>
          <w:sz w:val="24"/>
          <w:szCs w:val="24"/>
          <w:lang w:bidi="ar-EG"/>
        </w:rPr>
        <w:t xml:space="preserve">Key words: </w:t>
      </w:r>
      <w:r w:rsidR="003162D1" w:rsidRPr="00571A5F">
        <w:rPr>
          <w:rFonts w:asciiTheme="majorBidi" w:hAnsiTheme="majorBidi" w:cstheme="majorBidi"/>
          <w:sz w:val="24"/>
          <w:szCs w:val="24"/>
          <w:lang w:bidi="ar-EG"/>
        </w:rPr>
        <w:t>DOX</w:t>
      </w:r>
      <w:r w:rsidRPr="00571A5F">
        <w:rPr>
          <w:rFonts w:asciiTheme="majorBidi" w:hAnsiTheme="majorBidi" w:cstheme="majorBidi"/>
          <w:sz w:val="24"/>
          <w:szCs w:val="24"/>
          <w:lang w:bidi="ar-EG"/>
        </w:rPr>
        <w:t xml:space="preserve">, </w:t>
      </w:r>
      <w:r w:rsidR="003162D1" w:rsidRPr="00571A5F">
        <w:rPr>
          <w:rFonts w:asciiTheme="majorBidi" w:hAnsiTheme="majorBidi" w:cstheme="majorBidi"/>
          <w:sz w:val="24"/>
          <w:szCs w:val="24"/>
          <w:lang w:bidi="ar-EG"/>
        </w:rPr>
        <w:t>STG</w:t>
      </w:r>
      <w:r w:rsidRPr="00571A5F">
        <w:rPr>
          <w:rFonts w:asciiTheme="majorBidi" w:hAnsiTheme="majorBidi" w:cstheme="majorBidi"/>
          <w:sz w:val="24"/>
          <w:szCs w:val="24"/>
          <w:lang w:bidi="ar-EG"/>
        </w:rPr>
        <w:t xml:space="preserve">, </w:t>
      </w:r>
      <w:r w:rsidR="003162D1" w:rsidRPr="00571A5F">
        <w:rPr>
          <w:rFonts w:asciiTheme="majorBidi" w:hAnsiTheme="majorBidi" w:cstheme="majorBidi"/>
          <w:sz w:val="24"/>
          <w:szCs w:val="24"/>
          <w:lang w:bidi="ar-EG"/>
        </w:rPr>
        <w:t>eNOS</w:t>
      </w:r>
      <w:r w:rsidRPr="00571A5F">
        <w:rPr>
          <w:rFonts w:asciiTheme="majorBidi" w:hAnsiTheme="majorBidi" w:cstheme="majorBidi"/>
          <w:sz w:val="24"/>
          <w:szCs w:val="24"/>
          <w:lang w:bidi="ar-EG"/>
        </w:rPr>
        <w:t xml:space="preserve">, </w:t>
      </w:r>
      <w:r w:rsidR="003162D1" w:rsidRPr="00571A5F">
        <w:rPr>
          <w:rFonts w:asciiTheme="majorBidi" w:hAnsiTheme="majorBidi" w:cstheme="majorBidi"/>
          <w:sz w:val="24"/>
          <w:szCs w:val="24"/>
          <w:lang w:bidi="ar-EG"/>
        </w:rPr>
        <w:t>NO</w:t>
      </w:r>
      <w:r w:rsidRPr="00571A5F">
        <w:rPr>
          <w:rFonts w:asciiTheme="majorBidi" w:hAnsiTheme="majorBidi" w:cstheme="majorBidi"/>
          <w:sz w:val="24"/>
          <w:szCs w:val="24"/>
          <w:lang w:bidi="ar-EG"/>
        </w:rPr>
        <w:t>,</w:t>
      </w:r>
      <w:r w:rsidR="005B1369" w:rsidRPr="00571A5F">
        <w:rPr>
          <w:rFonts w:asciiTheme="majorBidi" w:hAnsiTheme="majorBidi" w:cstheme="majorBidi"/>
          <w:sz w:val="24"/>
          <w:szCs w:val="24"/>
          <w:lang w:bidi="ar-EG"/>
        </w:rPr>
        <w:t xml:space="preserve"> L-NAME,</w:t>
      </w:r>
      <w:r w:rsidRPr="00571A5F">
        <w:rPr>
          <w:rFonts w:asciiTheme="majorBidi" w:hAnsiTheme="majorBidi" w:cstheme="majorBidi"/>
          <w:sz w:val="24"/>
          <w:szCs w:val="24"/>
          <w:lang w:bidi="ar-EG"/>
        </w:rPr>
        <w:t xml:space="preserve"> </w:t>
      </w:r>
      <w:r w:rsidR="003162D1" w:rsidRPr="00571A5F">
        <w:rPr>
          <w:rFonts w:asciiTheme="majorBidi" w:hAnsiTheme="majorBidi" w:cstheme="majorBidi"/>
          <w:sz w:val="24"/>
          <w:szCs w:val="24"/>
          <w:lang w:bidi="ar-EG"/>
        </w:rPr>
        <w:t>SOD</w:t>
      </w:r>
      <w:r w:rsidRPr="00571A5F">
        <w:rPr>
          <w:rFonts w:asciiTheme="majorBidi" w:hAnsiTheme="majorBidi" w:cstheme="majorBidi"/>
          <w:sz w:val="24"/>
          <w:szCs w:val="24"/>
          <w:lang w:bidi="ar-EG"/>
        </w:rPr>
        <w:t>.</w:t>
      </w:r>
    </w:p>
    <w:p w:rsidR="004B2204" w:rsidRPr="00571A5F" w:rsidRDefault="007C7E93" w:rsidP="007F63AD">
      <w:pPr>
        <w:bidi w:val="0"/>
        <w:jc w:val="both"/>
        <w:rPr>
          <w:rFonts w:asciiTheme="majorBidi" w:hAnsiTheme="majorBidi" w:cstheme="majorBidi"/>
          <w:sz w:val="24"/>
          <w:szCs w:val="24"/>
          <w:lang w:bidi="ar-EG"/>
        </w:rPr>
      </w:pPr>
      <w:r w:rsidRPr="00571A5F">
        <w:rPr>
          <w:rFonts w:asciiTheme="majorBidi" w:hAnsiTheme="majorBidi" w:cstheme="majorBidi"/>
          <w:b/>
          <w:bCs/>
          <w:sz w:val="24"/>
          <w:szCs w:val="24"/>
          <w:lang w:bidi="ar-EG"/>
        </w:rPr>
        <w:t>Abbreviations:</w:t>
      </w:r>
      <w:r w:rsidR="00A350B7" w:rsidRPr="00571A5F">
        <w:rPr>
          <w:rFonts w:asciiTheme="majorBidi" w:hAnsiTheme="majorBidi" w:cstheme="majorBidi"/>
          <w:color w:val="000000"/>
          <w:sz w:val="24"/>
          <w:szCs w:val="24"/>
        </w:rPr>
        <w:t xml:space="preserve"> CK-MB; </w:t>
      </w:r>
      <w:r w:rsidR="00A350B7" w:rsidRPr="00571A5F">
        <w:rPr>
          <w:rFonts w:asciiTheme="majorBidi" w:hAnsiTheme="majorBidi" w:cstheme="majorBidi"/>
          <w:b/>
          <w:bCs/>
          <w:sz w:val="24"/>
          <w:szCs w:val="24"/>
        </w:rPr>
        <w:t>Creatine phosphokinase MB,</w:t>
      </w:r>
      <w:r w:rsidR="00A350B7" w:rsidRPr="00571A5F">
        <w:rPr>
          <w:rFonts w:asciiTheme="majorBidi" w:hAnsiTheme="majorBidi" w:cstheme="majorBidi"/>
          <w:sz w:val="24"/>
          <w:szCs w:val="24"/>
        </w:rPr>
        <w:t xml:space="preserve"> </w:t>
      </w:r>
      <w:r w:rsidR="00F274D6" w:rsidRPr="00571A5F">
        <w:rPr>
          <w:rFonts w:asciiTheme="majorBidi" w:hAnsiTheme="majorBidi" w:cstheme="majorBidi"/>
          <w:sz w:val="24"/>
          <w:szCs w:val="24"/>
          <w:lang w:bidi="ar-EG"/>
        </w:rPr>
        <w:t xml:space="preserve">DBP; </w:t>
      </w:r>
      <w:r w:rsidR="00F274D6" w:rsidRPr="00571A5F">
        <w:rPr>
          <w:rFonts w:asciiTheme="majorBidi" w:hAnsiTheme="majorBidi" w:cstheme="majorBidi"/>
          <w:b/>
          <w:bCs/>
          <w:sz w:val="24"/>
          <w:szCs w:val="24"/>
        </w:rPr>
        <w:t>diastolic blood pressure,</w:t>
      </w:r>
      <w:r w:rsidR="005B1369" w:rsidRPr="00571A5F">
        <w:rPr>
          <w:rFonts w:asciiTheme="majorBidi" w:hAnsiTheme="majorBidi" w:cstheme="majorBidi"/>
          <w:color w:val="000000"/>
          <w:sz w:val="24"/>
          <w:szCs w:val="24"/>
        </w:rPr>
        <w:t xml:space="preserve"> DOX; </w:t>
      </w:r>
      <w:r w:rsidR="005B1369" w:rsidRPr="00571A5F">
        <w:rPr>
          <w:rFonts w:asciiTheme="majorBidi" w:hAnsiTheme="majorBidi" w:cstheme="majorBidi"/>
          <w:b/>
          <w:bCs/>
          <w:color w:val="000000"/>
          <w:sz w:val="24"/>
          <w:szCs w:val="24"/>
        </w:rPr>
        <w:t>doxorubicin,</w:t>
      </w:r>
      <w:r w:rsidR="005D0A2C" w:rsidRPr="00571A5F">
        <w:rPr>
          <w:rFonts w:asciiTheme="majorBidi" w:hAnsiTheme="majorBidi" w:cstheme="majorBidi"/>
          <w:sz w:val="24"/>
          <w:szCs w:val="24"/>
          <w:lang w:bidi="ar-EG"/>
        </w:rPr>
        <w:t xml:space="preserve"> </w:t>
      </w:r>
      <w:r w:rsidR="005D0A2C" w:rsidRPr="00571A5F">
        <w:rPr>
          <w:rFonts w:asciiTheme="majorBidi" w:hAnsiTheme="majorBidi" w:cstheme="majorBidi"/>
          <w:sz w:val="24"/>
          <w:szCs w:val="24"/>
        </w:rPr>
        <w:t xml:space="preserve">eNOS; </w:t>
      </w:r>
      <w:r w:rsidR="005D0A2C" w:rsidRPr="00571A5F">
        <w:rPr>
          <w:rFonts w:asciiTheme="majorBidi" w:hAnsiTheme="majorBidi" w:cstheme="majorBidi"/>
          <w:b/>
          <w:bCs/>
          <w:sz w:val="24"/>
          <w:szCs w:val="24"/>
        </w:rPr>
        <w:t>Endothelial nitric oxide synthase</w:t>
      </w:r>
      <w:r w:rsidR="005D0A2C" w:rsidRPr="00571A5F">
        <w:rPr>
          <w:rFonts w:asciiTheme="majorBidi" w:hAnsiTheme="majorBidi" w:cstheme="majorBidi"/>
          <w:sz w:val="24"/>
          <w:szCs w:val="24"/>
          <w:lang w:bidi="ar-EG"/>
        </w:rPr>
        <w:t>,</w:t>
      </w:r>
      <w:r w:rsidR="00740EF4" w:rsidRPr="00571A5F">
        <w:rPr>
          <w:rFonts w:asciiTheme="majorBidi" w:hAnsiTheme="majorBidi" w:cstheme="majorBidi"/>
          <w:sz w:val="24"/>
          <w:szCs w:val="24"/>
          <w:lang w:bidi="ar-EG"/>
        </w:rPr>
        <w:t xml:space="preserve"> LDH; </w:t>
      </w:r>
      <w:r w:rsidR="00740EF4" w:rsidRPr="00571A5F">
        <w:rPr>
          <w:rFonts w:asciiTheme="majorBidi" w:hAnsiTheme="majorBidi" w:cstheme="majorBidi"/>
          <w:b/>
          <w:bCs/>
          <w:sz w:val="24"/>
          <w:szCs w:val="24"/>
        </w:rPr>
        <w:t>Lactate dehydrogenase</w:t>
      </w:r>
      <w:r w:rsidR="00740EF4" w:rsidRPr="00571A5F">
        <w:rPr>
          <w:rFonts w:asciiTheme="majorBidi" w:hAnsiTheme="majorBidi" w:cstheme="majorBidi"/>
          <w:sz w:val="24"/>
          <w:szCs w:val="24"/>
        </w:rPr>
        <w:t xml:space="preserve">, </w:t>
      </w:r>
      <w:r w:rsidRPr="00571A5F">
        <w:rPr>
          <w:rFonts w:asciiTheme="majorBidi" w:hAnsiTheme="majorBidi" w:cstheme="majorBidi"/>
          <w:sz w:val="24"/>
          <w:szCs w:val="24"/>
          <w:lang w:bidi="ar-EG"/>
        </w:rPr>
        <w:t xml:space="preserve"> </w:t>
      </w:r>
      <w:r w:rsidRPr="00571A5F">
        <w:rPr>
          <w:rFonts w:asciiTheme="majorBidi" w:hAnsiTheme="majorBidi" w:cstheme="majorBidi"/>
          <w:sz w:val="24"/>
          <w:szCs w:val="24"/>
          <w:lang w:bidi="en-US"/>
        </w:rPr>
        <w:t xml:space="preserve">MDA; </w:t>
      </w:r>
      <w:r w:rsidRPr="00571A5F">
        <w:rPr>
          <w:rStyle w:val="Strong"/>
          <w:rFonts w:asciiTheme="majorBidi" w:hAnsiTheme="majorBidi" w:cstheme="majorBidi"/>
          <w:sz w:val="24"/>
          <w:szCs w:val="24"/>
        </w:rPr>
        <w:t>malondialdehyde</w:t>
      </w:r>
      <w:r w:rsidRPr="00571A5F">
        <w:rPr>
          <w:rFonts w:asciiTheme="majorBidi" w:hAnsiTheme="majorBidi" w:cstheme="majorBidi"/>
          <w:sz w:val="24"/>
          <w:szCs w:val="24"/>
          <w:lang w:bidi="en-US"/>
        </w:rPr>
        <w:t>,</w:t>
      </w:r>
      <w:r w:rsidR="005D0A2C" w:rsidRPr="00571A5F">
        <w:rPr>
          <w:rFonts w:asciiTheme="majorBidi" w:hAnsiTheme="majorBidi" w:cstheme="majorBidi"/>
          <w:sz w:val="24"/>
          <w:szCs w:val="24"/>
          <w:lang w:bidi="en-US"/>
        </w:rPr>
        <w:t xml:space="preserve"> NO; </w:t>
      </w:r>
      <w:r w:rsidR="005D0A2C" w:rsidRPr="00571A5F">
        <w:rPr>
          <w:rFonts w:asciiTheme="majorBidi" w:hAnsiTheme="majorBidi" w:cstheme="majorBidi"/>
          <w:b/>
          <w:bCs/>
          <w:sz w:val="24"/>
          <w:szCs w:val="24"/>
        </w:rPr>
        <w:t>nitric oxide</w:t>
      </w:r>
      <w:r w:rsidR="005D0A2C" w:rsidRPr="00571A5F">
        <w:rPr>
          <w:rFonts w:asciiTheme="majorBidi" w:hAnsiTheme="majorBidi" w:cstheme="majorBidi"/>
          <w:sz w:val="24"/>
          <w:szCs w:val="24"/>
        </w:rPr>
        <w:t>,</w:t>
      </w:r>
      <w:r w:rsidR="00740EF4" w:rsidRPr="00571A5F">
        <w:rPr>
          <w:rFonts w:asciiTheme="majorBidi" w:hAnsiTheme="majorBidi" w:cstheme="majorBidi"/>
          <w:sz w:val="24"/>
          <w:szCs w:val="24"/>
          <w:lang w:bidi="en-US"/>
        </w:rPr>
        <w:t xml:space="preserve"> </w:t>
      </w:r>
      <w:r w:rsidR="00740EF4" w:rsidRPr="00571A5F">
        <w:rPr>
          <w:rFonts w:asciiTheme="majorBidi" w:hAnsiTheme="majorBidi" w:cstheme="majorBidi"/>
          <w:sz w:val="24"/>
          <w:szCs w:val="24"/>
          <w:lang w:bidi="ar-EG"/>
        </w:rPr>
        <w:t xml:space="preserve">SBP; </w:t>
      </w:r>
      <w:r w:rsidR="00740EF4" w:rsidRPr="00571A5F">
        <w:rPr>
          <w:rFonts w:asciiTheme="majorBidi" w:hAnsiTheme="majorBidi" w:cstheme="majorBidi"/>
          <w:b/>
          <w:bCs/>
          <w:sz w:val="24"/>
          <w:szCs w:val="24"/>
        </w:rPr>
        <w:t>Systolic blood pressure,</w:t>
      </w:r>
      <w:r w:rsidR="00740EF4" w:rsidRPr="00571A5F">
        <w:rPr>
          <w:rFonts w:asciiTheme="majorBidi" w:hAnsiTheme="majorBidi" w:cstheme="majorBidi"/>
          <w:sz w:val="24"/>
          <w:szCs w:val="24"/>
          <w:lang w:bidi="ar-EG"/>
        </w:rPr>
        <w:t xml:space="preserve"> </w:t>
      </w:r>
      <w:r w:rsidRPr="00571A5F">
        <w:rPr>
          <w:rFonts w:asciiTheme="majorBidi" w:hAnsiTheme="majorBidi" w:cstheme="majorBidi"/>
          <w:sz w:val="24"/>
          <w:szCs w:val="24"/>
          <w:lang w:bidi="en-US"/>
        </w:rPr>
        <w:t xml:space="preserve">SOD; </w:t>
      </w:r>
      <w:hyperlink r:id="rId5" w:tooltip="Find more articles at http://www.scialert.net/asci/result.php?searchin=Keywords&amp;cat=&amp;ascicat=ALL&amp;Submit=Search&amp;keyword=superoxide+dismutase (superoxide dismutase)" w:history="1">
        <w:r w:rsidRPr="00571A5F">
          <w:rPr>
            <w:rStyle w:val="Strong"/>
            <w:rFonts w:asciiTheme="majorBidi" w:hAnsiTheme="majorBidi" w:cstheme="majorBidi"/>
            <w:sz w:val="24"/>
            <w:szCs w:val="24"/>
          </w:rPr>
          <w:t>superoxide dismutase</w:t>
        </w:r>
      </w:hyperlink>
      <w:r w:rsidR="00FA2543" w:rsidRPr="00571A5F">
        <w:rPr>
          <w:rFonts w:asciiTheme="majorBidi" w:hAnsiTheme="majorBidi" w:cstheme="majorBidi"/>
          <w:sz w:val="24"/>
          <w:szCs w:val="24"/>
          <w:lang w:bidi="ar-EG"/>
        </w:rPr>
        <w:t>,</w:t>
      </w:r>
      <w:r w:rsidR="00740EF4" w:rsidRPr="00571A5F">
        <w:rPr>
          <w:rFonts w:asciiTheme="majorBidi" w:hAnsiTheme="majorBidi" w:cstheme="majorBidi"/>
          <w:sz w:val="24"/>
          <w:szCs w:val="24"/>
          <w:lang w:bidi="en-US"/>
        </w:rPr>
        <w:t xml:space="preserve"> STG; </w:t>
      </w:r>
      <w:r w:rsidR="00740EF4" w:rsidRPr="00571A5F">
        <w:rPr>
          <w:rFonts w:asciiTheme="majorBidi" w:hAnsiTheme="majorBidi" w:cstheme="majorBidi"/>
          <w:b/>
          <w:bCs/>
          <w:sz w:val="24"/>
          <w:szCs w:val="24"/>
        </w:rPr>
        <w:t>Sitagliptin</w:t>
      </w:r>
      <w:r w:rsidR="00740EF4" w:rsidRPr="00571A5F">
        <w:rPr>
          <w:rFonts w:asciiTheme="majorBidi" w:hAnsiTheme="majorBidi" w:cstheme="majorBidi"/>
          <w:sz w:val="24"/>
          <w:szCs w:val="24"/>
          <w:lang w:bidi="ar-EG"/>
        </w:rPr>
        <w:t xml:space="preserve">, </w:t>
      </w:r>
      <w:r w:rsidR="00FA2543" w:rsidRPr="00571A5F">
        <w:rPr>
          <w:rFonts w:asciiTheme="majorBidi" w:hAnsiTheme="majorBidi" w:cstheme="majorBidi"/>
          <w:sz w:val="24"/>
          <w:szCs w:val="24"/>
        </w:rPr>
        <w:t>NG-Nitro arginine methyl ester</w:t>
      </w:r>
      <w:r w:rsidR="00FA2543" w:rsidRPr="00571A5F">
        <w:rPr>
          <w:rFonts w:asciiTheme="majorBidi" w:hAnsiTheme="majorBidi" w:cstheme="majorBidi"/>
          <w:b/>
          <w:bCs/>
          <w:sz w:val="24"/>
          <w:szCs w:val="24"/>
        </w:rPr>
        <w:t xml:space="preserve"> </w:t>
      </w:r>
      <w:r w:rsidR="00F274D6" w:rsidRPr="00571A5F">
        <w:rPr>
          <w:rFonts w:asciiTheme="majorBidi" w:hAnsiTheme="majorBidi" w:cstheme="majorBidi"/>
          <w:b/>
          <w:bCs/>
          <w:sz w:val="24"/>
          <w:szCs w:val="24"/>
        </w:rPr>
        <w:t>;</w:t>
      </w:r>
      <w:r w:rsidR="00FA2543" w:rsidRPr="00571A5F">
        <w:rPr>
          <w:rFonts w:asciiTheme="majorBidi" w:hAnsiTheme="majorBidi" w:cstheme="majorBidi"/>
          <w:b/>
          <w:bCs/>
          <w:sz w:val="24"/>
          <w:szCs w:val="24"/>
        </w:rPr>
        <w:t>(L-NAME)</w:t>
      </w:r>
      <w:r w:rsidR="006C17F4" w:rsidRPr="00571A5F">
        <w:rPr>
          <w:rFonts w:asciiTheme="majorBidi" w:hAnsiTheme="majorBidi" w:cstheme="majorBidi"/>
          <w:b/>
          <w:bCs/>
          <w:sz w:val="24"/>
          <w:szCs w:val="24"/>
        </w:rPr>
        <w:t>.</w:t>
      </w:r>
    </w:p>
    <w:p w:rsidR="004B2204" w:rsidRPr="00571A5F" w:rsidRDefault="004B2204" w:rsidP="00571A5F">
      <w:pPr>
        <w:bidi w:val="0"/>
        <w:spacing w:line="360" w:lineRule="auto"/>
        <w:contextualSpacing/>
        <w:jc w:val="both"/>
        <w:rPr>
          <w:rFonts w:asciiTheme="majorBidi" w:hAnsiTheme="majorBidi" w:cstheme="majorBidi"/>
          <w:sz w:val="24"/>
          <w:szCs w:val="24"/>
          <w:lang w:bidi="ar-EG"/>
        </w:rPr>
      </w:pPr>
      <w:r w:rsidRPr="00571A5F">
        <w:rPr>
          <w:rFonts w:asciiTheme="majorBidi" w:hAnsiTheme="majorBidi" w:cstheme="majorBidi"/>
          <w:b/>
          <w:bCs/>
          <w:sz w:val="28"/>
          <w:szCs w:val="28"/>
          <w:lang w:bidi="ar-EG"/>
        </w:rPr>
        <w:t>1. INTRODUCTION:</w:t>
      </w:r>
    </w:p>
    <w:p w:rsidR="00653A00" w:rsidRPr="00571A5F" w:rsidRDefault="00653A00" w:rsidP="00571A5F">
      <w:pPr>
        <w:autoSpaceDE w:val="0"/>
        <w:autoSpaceDN w:val="0"/>
        <w:bidi w:val="0"/>
        <w:adjustRightInd w:val="0"/>
        <w:spacing w:after="0" w:line="360" w:lineRule="auto"/>
        <w:ind w:firstLine="720"/>
        <w:jc w:val="both"/>
        <w:rPr>
          <w:rFonts w:ascii="Times New Roman" w:hAnsi="Times New Roman" w:cs="Times New Roman"/>
          <w:sz w:val="28"/>
          <w:szCs w:val="28"/>
        </w:rPr>
      </w:pPr>
      <w:r w:rsidRPr="00571A5F">
        <w:rPr>
          <w:rFonts w:ascii="Times New Roman" w:hAnsi="Times New Roman" w:cs="Times New Roman"/>
          <w:sz w:val="28"/>
          <w:szCs w:val="28"/>
        </w:rPr>
        <w:t>Doxorubicin (DOX) (also known as adriamycin) was isolated from the pigment-producing bacterium (Streptomyces peucetius var. caesius), and belongs to the family of anthracyclines (</w:t>
      </w:r>
      <w:r w:rsidR="00BA6F9D" w:rsidRPr="00571A5F">
        <w:rPr>
          <w:rFonts w:ascii="Times New Roman" w:hAnsi="Times New Roman" w:cs="Times New Roman"/>
          <w:b/>
          <w:bCs/>
          <w:color w:val="231F20"/>
          <w:sz w:val="28"/>
          <w:szCs w:val="28"/>
        </w:rPr>
        <w:t>1</w:t>
      </w:r>
      <w:r w:rsidRPr="00571A5F">
        <w:rPr>
          <w:rFonts w:ascii="Times New Roman" w:hAnsi="Times New Roman" w:cs="Times New Roman"/>
          <w:b/>
          <w:bCs/>
          <w:color w:val="231F20"/>
          <w:sz w:val="28"/>
          <w:szCs w:val="28"/>
        </w:rPr>
        <w:t>)</w:t>
      </w:r>
      <w:r w:rsidRPr="00571A5F">
        <w:rPr>
          <w:rFonts w:ascii="Times New Roman" w:hAnsi="Times New Roman" w:cs="Times New Roman"/>
          <w:sz w:val="28"/>
          <w:szCs w:val="28"/>
        </w:rPr>
        <w:t xml:space="preserve">. </w:t>
      </w:r>
    </w:p>
    <w:p w:rsidR="00653A00" w:rsidRPr="00571A5F" w:rsidRDefault="00653A00" w:rsidP="00571A5F">
      <w:pPr>
        <w:bidi w:val="0"/>
        <w:spacing w:line="360" w:lineRule="auto"/>
        <w:jc w:val="both"/>
        <w:rPr>
          <w:lang w:bidi="ar-EG"/>
        </w:rPr>
      </w:pPr>
      <w:r w:rsidRPr="00571A5F">
        <w:rPr>
          <w:rFonts w:ascii="Times New Roman" w:hAnsi="Times New Roman" w:cs="Times New Roman"/>
          <w:sz w:val="28"/>
          <w:szCs w:val="28"/>
        </w:rPr>
        <w:t>DOX-induced cardiac toxicity (DIC) has been recognized as a complication of chemotherapy. Patients with childhood cancer and those treated with DOX have a high risk of developing symptomatic cardiac events at an early stage, and this risk remains high within 30 years after treatment</w:t>
      </w:r>
      <w:r w:rsidRPr="00571A5F">
        <w:rPr>
          <w:rFonts w:ascii="Times New Roman" w:hAnsi="Times New Roman" w:cs="Times New Roman"/>
          <w:b/>
          <w:bCs/>
          <w:sz w:val="28"/>
          <w:szCs w:val="28"/>
        </w:rPr>
        <w:t xml:space="preserve"> </w:t>
      </w:r>
      <w:r w:rsidR="00BA6F9D" w:rsidRPr="00571A5F">
        <w:rPr>
          <w:rFonts w:ascii="Times New Roman" w:hAnsi="Times New Roman" w:cs="Times New Roman"/>
          <w:b/>
          <w:bCs/>
          <w:sz w:val="28"/>
          <w:szCs w:val="28"/>
        </w:rPr>
        <w:t>(2</w:t>
      </w:r>
      <w:r w:rsidRPr="00571A5F">
        <w:rPr>
          <w:rFonts w:ascii="Times New Roman" w:hAnsi="Times New Roman" w:cs="Times New Roman"/>
          <w:b/>
          <w:bCs/>
          <w:sz w:val="28"/>
          <w:szCs w:val="28"/>
        </w:rPr>
        <w:t>).</w:t>
      </w:r>
    </w:p>
    <w:p w:rsidR="00653A00" w:rsidRPr="00571A5F" w:rsidRDefault="00653A00" w:rsidP="00571A5F">
      <w:pPr>
        <w:autoSpaceDE w:val="0"/>
        <w:autoSpaceDN w:val="0"/>
        <w:bidi w:val="0"/>
        <w:adjustRightInd w:val="0"/>
        <w:spacing w:after="0" w:line="360" w:lineRule="auto"/>
        <w:ind w:firstLine="720"/>
        <w:jc w:val="both"/>
        <w:rPr>
          <w:rFonts w:ascii="Times New Roman" w:hAnsi="Times New Roman" w:cs="Times New Roman"/>
          <w:b/>
          <w:bCs/>
          <w:sz w:val="28"/>
          <w:szCs w:val="28"/>
        </w:rPr>
      </w:pPr>
      <w:r w:rsidRPr="00571A5F">
        <w:rPr>
          <w:rFonts w:ascii="Times New Roman" w:hAnsi="Times New Roman" w:cs="Times New Roman"/>
          <w:sz w:val="28"/>
          <w:szCs w:val="28"/>
        </w:rPr>
        <w:t xml:space="preserve">The mechanisms to explain DIC are not completely understood. It seems to be a multistep process, with different potential pathways involved that leads to cardiomyocyte death </w:t>
      </w:r>
      <w:r w:rsidR="00BA6F9D" w:rsidRPr="00571A5F">
        <w:rPr>
          <w:rFonts w:ascii="Times New Roman" w:hAnsi="Times New Roman" w:cs="Times New Roman"/>
          <w:b/>
          <w:bCs/>
          <w:sz w:val="28"/>
          <w:szCs w:val="28"/>
        </w:rPr>
        <w:t>(3</w:t>
      </w:r>
      <w:r w:rsidRPr="00571A5F">
        <w:rPr>
          <w:rFonts w:ascii="Times New Roman" w:hAnsi="Times New Roman" w:cs="Times New Roman"/>
          <w:b/>
          <w:bCs/>
          <w:sz w:val="28"/>
          <w:szCs w:val="28"/>
        </w:rPr>
        <w:t>).</w:t>
      </w:r>
      <w:r w:rsidRPr="00571A5F">
        <w:rPr>
          <w:rFonts w:ascii="Times New Roman" w:hAnsi="Times New Roman" w:cs="Times New Roman"/>
          <w:sz w:val="28"/>
          <w:szCs w:val="28"/>
        </w:rPr>
        <w:t xml:space="preserve"> The main mechanisms that have </w:t>
      </w:r>
      <w:r w:rsidRPr="00350CD0">
        <w:rPr>
          <w:rFonts w:ascii="Times New Roman" w:hAnsi="Times New Roman" w:cs="Times New Roman"/>
          <w:sz w:val="28"/>
          <w:szCs w:val="28"/>
        </w:rPr>
        <w:t>been proposed by various research g</w:t>
      </w:r>
      <w:r w:rsidR="00350CD0" w:rsidRPr="00350CD0">
        <w:rPr>
          <w:rFonts w:ascii="Times New Roman" w:hAnsi="Times New Roman" w:cs="Times New Roman"/>
          <w:sz w:val="28"/>
          <w:szCs w:val="28"/>
        </w:rPr>
        <w:t>roups include oxidative stress</w:t>
      </w:r>
      <w:r w:rsidRPr="00350CD0">
        <w:rPr>
          <w:rFonts w:ascii="Times New Roman" w:hAnsi="Times New Roman" w:cs="Times New Roman"/>
          <w:sz w:val="28"/>
          <w:szCs w:val="28"/>
        </w:rPr>
        <w:t>, Ca2+</w:t>
      </w:r>
      <w:r w:rsidR="00350CD0">
        <w:rPr>
          <w:rFonts w:ascii="Times New Roman" w:hAnsi="Times New Roman" w:cs="Times New Roman"/>
          <w:sz w:val="28"/>
          <w:szCs w:val="28"/>
        </w:rPr>
        <w:t xml:space="preserve"> </w:t>
      </w:r>
      <w:r w:rsidRPr="00350CD0">
        <w:rPr>
          <w:rFonts w:ascii="Times New Roman" w:hAnsi="Times New Roman" w:cs="Times New Roman"/>
          <w:sz w:val="28"/>
          <w:szCs w:val="28"/>
        </w:rPr>
        <w:t xml:space="preserve">homeostasis </w:t>
      </w:r>
      <w:r w:rsidRPr="00571A5F">
        <w:rPr>
          <w:rFonts w:ascii="Times New Roman" w:hAnsi="Times New Roman" w:cs="Times New Roman"/>
          <w:sz w:val="28"/>
          <w:szCs w:val="28"/>
        </w:rPr>
        <w:t xml:space="preserve">dysregulation, sarcomeric structure alterations, gene expression modulation, and apoptosis </w:t>
      </w:r>
      <w:r w:rsidR="00BA6F9D" w:rsidRPr="00571A5F">
        <w:rPr>
          <w:rFonts w:ascii="Times New Roman" w:hAnsi="Times New Roman" w:cs="Times New Roman"/>
          <w:b/>
          <w:bCs/>
          <w:sz w:val="28"/>
          <w:szCs w:val="28"/>
        </w:rPr>
        <w:t>(4</w:t>
      </w:r>
      <w:r w:rsidRPr="00571A5F">
        <w:rPr>
          <w:rFonts w:ascii="Times New Roman" w:hAnsi="Times New Roman" w:cs="Times New Roman"/>
          <w:b/>
          <w:bCs/>
          <w:sz w:val="28"/>
          <w:szCs w:val="28"/>
        </w:rPr>
        <w:t>).</w:t>
      </w:r>
    </w:p>
    <w:p w:rsidR="00BB4EDA" w:rsidRPr="00571A5F" w:rsidRDefault="00FC2BEA" w:rsidP="00571A5F">
      <w:pPr>
        <w:bidi w:val="0"/>
        <w:spacing w:line="360" w:lineRule="auto"/>
        <w:ind w:firstLine="720"/>
        <w:jc w:val="both"/>
        <w:rPr>
          <w:rFonts w:asciiTheme="majorBidi" w:hAnsiTheme="majorBidi" w:cstheme="majorBidi"/>
          <w:color w:val="000000"/>
          <w:sz w:val="28"/>
          <w:szCs w:val="28"/>
        </w:rPr>
      </w:pPr>
      <w:r w:rsidRPr="00571A5F">
        <w:rPr>
          <w:rFonts w:asciiTheme="majorBidi" w:hAnsiTheme="majorBidi" w:cstheme="majorBidi"/>
          <w:sz w:val="28"/>
          <w:szCs w:val="28"/>
        </w:rPr>
        <w:t>STG</w:t>
      </w:r>
      <w:r w:rsidRPr="00571A5F">
        <w:rPr>
          <w:rFonts w:asciiTheme="majorBidi" w:hAnsiTheme="majorBidi" w:cstheme="majorBidi"/>
          <w:b/>
          <w:bCs/>
          <w:sz w:val="28"/>
          <w:szCs w:val="28"/>
        </w:rPr>
        <w:t xml:space="preserve"> </w:t>
      </w:r>
      <w:r w:rsidRPr="00571A5F">
        <w:rPr>
          <w:rFonts w:asciiTheme="majorBidi" w:hAnsiTheme="majorBidi" w:cstheme="majorBidi"/>
          <w:sz w:val="28"/>
          <w:szCs w:val="28"/>
        </w:rPr>
        <w:t xml:space="preserve">is a highly selective DPP-4 inhibitor. Its major application is in the treatment of type 2 diabetes </w:t>
      </w:r>
      <w:r w:rsidRPr="00571A5F">
        <w:rPr>
          <w:rFonts w:asciiTheme="majorBidi" w:hAnsiTheme="majorBidi" w:cstheme="majorBidi"/>
          <w:b/>
          <w:bCs/>
          <w:sz w:val="28"/>
          <w:szCs w:val="28"/>
        </w:rPr>
        <w:t>(</w:t>
      </w:r>
      <w:r w:rsidR="00BA6F9D" w:rsidRPr="00571A5F">
        <w:rPr>
          <w:rFonts w:asciiTheme="majorBidi" w:hAnsiTheme="majorBidi" w:cstheme="majorBidi"/>
          <w:b/>
          <w:bCs/>
          <w:color w:val="000000"/>
          <w:sz w:val="28"/>
          <w:szCs w:val="28"/>
          <w:shd w:val="clear" w:color="auto" w:fill="FFFFFF"/>
        </w:rPr>
        <w:t>5</w:t>
      </w:r>
      <w:r w:rsidRPr="00571A5F">
        <w:rPr>
          <w:rFonts w:asciiTheme="majorBidi" w:hAnsiTheme="majorBidi" w:cstheme="majorBidi"/>
          <w:b/>
          <w:bCs/>
          <w:color w:val="000000"/>
          <w:sz w:val="28"/>
          <w:szCs w:val="28"/>
          <w:shd w:val="clear" w:color="auto" w:fill="FFFFFF"/>
        </w:rPr>
        <w:t>)</w:t>
      </w:r>
      <w:r w:rsidRPr="00571A5F">
        <w:rPr>
          <w:rFonts w:asciiTheme="majorBidi" w:hAnsiTheme="majorBidi" w:cstheme="majorBidi"/>
          <w:b/>
          <w:bCs/>
          <w:sz w:val="28"/>
          <w:szCs w:val="28"/>
        </w:rPr>
        <w:t>.</w:t>
      </w:r>
      <w:r w:rsidR="00BB4EDA" w:rsidRPr="00571A5F">
        <w:rPr>
          <w:rFonts w:asciiTheme="majorBidi" w:hAnsiTheme="majorBidi" w:cstheme="majorBidi"/>
          <w:b/>
          <w:bCs/>
          <w:sz w:val="28"/>
          <w:szCs w:val="28"/>
        </w:rPr>
        <w:t xml:space="preserve"> </w:t>
      </w:r>
      <w:r w:rsidR="00BB4EDA" w:rsidRPr="00571A5F">
        <w:rPr>
          <w:rFonts w:asciiTheme="majorBidi" w:hAnsiTheme="majorBidi" w:cstheme="majorBidi"/>
          <w:color w:val="000000"/>
          <w:sz w:val="28"/>
          <w:szCs w:val="28"/>
        </w:rPr>
        <w:t>STG exerts protective effects on the heart through multiple mechanisms. STG has been found protect the heart from ROS.</w:t>
      </w:r>
      <w:r w:rsidR="00CC30D7" w:rsidRPr="00571A5F">
        <w:rPr>
          <w:rFonts w:asciiTheme="majorBidi" w:hAnsiTheme="majorBidi" w:cstheme="majorBidi"/>
          <w:sz w:val="28"/>
          <w:szCs w:val="28"/>
        </w:rPr>
        <w:t xml:space="preserve"> It</w:t>
      </w:r>
      <w:r w:rsidR="00BB4EDA" w:rsidRPr="00571A5F">
        <w:rPr>
          <w:rFonts w:asciiTheme="majorBidi" w:hAnsiTheme="majorBidi" w:cstheme="majorBidi"/>
          <w:color w:val="000000"/>
          <w:sz w:val="28"/>
          <w:szCs w:val="28"/>
        </w:rPr>
        <w:t xml:space="preserve"> has an important role in the regulation of defensive genes activation and induction of antioxidant enzymes as </w:t>
      </w:r>
      <w:r w:rsidR="00BB4EDA" w:rsidRPr="00571A5F">
        <w:rPr>
          <w:rFonts w:asciiTheme="majorBidi" w:hAnsiTheme="majorBidi" w:cstheme="majorBidi"/>
          <w:sz w:val="28"/>
          <w:szCs w:val="28"/>
        </w:rPr>
        <w:t>SOD</w:t>
      </w:r>
      <w:r w:rsidR="00BB4EDA" w:rsidRPr="00571A5F">
        <w:rPr>
          <w:rFonts w:asciiTheme="majorBidi" w:hAnsiTheme="majorBidi" w:cstheme="majorBidi"/>
          <w:color w:val="000000"/>
          <w:sz w:val="28"/>
          <w:szCs w:val="28"/>
        </w:rPr>
        <w:t xml:space="preserve">, catalase and glutathione peroxidase leading to suppression of injury evoked by ROS and protection of cells against oxidative stress injurious effects </w:t>
      </w:r>
      <w:r w:rsidR="00BA6F9D" w:rsidRPr="00571A5F">
        <w:rPr>
          <w:rFonts w:asciiTheme="majorBidi" w:hAnsiTheme="majorBidi" w:cstheme="majorBidi"/>
          <w:b/>
          <w:bCs/>
          <w:color w:val="000000"/>
          <w:sz w:val="28"/>
          <w:szCs w:val="28"/>
        </w:rPr>
        <w:t>(6</w:t>
      </w:r>
      <w:r w:rsidR="00BB4EDA" w:rsidRPr="00571A5F">
        <w:rPr>
          <w:rFonts w:asciiTheme="majorBidi" w:hAnsiTheme="majorBidi" w:cstheme="majorBidi"/>
          <w:b/>
          <w:bCs/>
          <w:color w:val="000000"/>
          <w:sz w:val="28"/>
          <w:szCs w:val="28"/>
        </w:rPr>
        <w:t>).</w:t>
      </w:r>
    </w:p>
    <w:p w:rsidR="00BB4EDA" w:rsidRPr="00571A5F" w:rsidRDefault="00BB4EDA" w:rsidP="00571A5F">
      <w:pPr>
        <w:autoSpaceDE w:val="0"/>
        <w:autoSpaceDN w:val="0"/>
        <w:bidi w:val="0"/>
        <w:adjustRightInd w:val="0"/>
        <w:spacing w:after="0" w:line="360" w:lineRule="auto"/>
        <w:ind w:firstLine="720"/>
        <w:jc w:val="both"/>
        <w:rPr>
          <w:rFonts w:ascii="Times New Roman" w:hAnsi="Times New Roman" w:cs="Times New Roman"/>
          <w:color w:val="000000"/>
          <w:sz w:val="28"/>
          <w:szCs w:val="28"/>
        </w:rPr>
      </w:pPr>
      <w:r w:rsidRPr="00571A5F">
        <w:rPr>
          <w:rFonts w:ascii="Times New Roman" w:hAnsi="Times New Roman" w:cs="Times New Roman"/>
          <w:color w:val="000000"/>
          <w:sz w:val="28"/>
          <w:szCs w:val="28"/>
        </w:rPr>
        <w:t xml:space="preserve">eNOS is the major isoform regulating vascular function. It is mostly expressed in endothelial cells. However, the isozyme has also been detected in cardiac myocytes, platelets, certain neurons of the brain, human placenta and kidney tubular epithelial cells </w:t>
      </w:r>
      <w:r w:rsidRPr="00571A5F">
        <w:rPr>
          <w:rFonts w:ascii="Times New Roman" w:hAnsi="Times New Roman" w:cs="Times New Roman"/>
          <w:b/>
          <w:bCs/>
          <w:color w:val="000000"/>
          <w:sz w:val="28"/>
          <w:szCs w:val="28"/>
        </w:rPr>
        <w:t>(</w:t>
      </w:r>
      <w:r w:rsidR="00BA6F9D" w:rsidRPr="00571A5F">
        <w:rPr>
          <w:rFonts w:ascii="Times New Roman" w:hAnsi="Times New Roman" w:cs="Times New Roman"/>
          <w:b/>
          <w:bCs/>
          <w:color w:val="000000"/>
          <w:sz w:val="28"/>
          <w:szCs w:val="28"/>
          <w:shd w:val="clear" w:color="auto" w:fill="FFFFFF"/>
        </w:rPr>
        <w:t>7</w:t>
      </w:r>
      <w:r w:rsidRPr="00571A5F">
        <w:rPr>
          <w:rFonts w:ascii="Times New Roman" w:hAnsi="Times New Roman" w:cs="Times New Roman"/>
          <w:b/>
          <w:bCs/>
          <w:color w:val="000000"/>
          <w:sz w:val="28"/>
          <w:szCs w:val="28"/>
          <w:shd w:val="clear" w:color="auto" w:fill="FFFFFF"/>
        </w:rPr>
        <w:t>).</w:t>
      </w:r>
    </w:p>
    <w:p w:rsidR="00A85270" w:rsidRPr="00571A5F" w:rsidRDefault="00BB4EDA" w:rsidP="00571A5F">
      <w:pPr>
        <w:bidi w:val="0"/>
        <w:spacing w:line="360" w:lineRule="auto"/>
        <w:ind w:firstLine="720"/>
        <w:jc w:val="both"/>
        <w:rPr>
          <w:rFonts w:ascii="Times New Roman" w:hAnsi="Times New Roman" w:cs="Times New Roman"/>
          <w:sz w:val="28"/>
          <w:szCs w:val="28"/>
          <w:lang w:val="en-GB"/>
        </w:rPr>
      </w:pPr>
      <w:r w:rsidRPr="00571A5F">
        <w:rPr>
          <w:rFonts w:ascii="Times New Roman" w:hAnsi="Times New Roman" w:cs="Times New Roman"/>
          <w:sz w:val="28"/>
          <w:szCs w:val="28"/>
          <w:lang w:val="en-GB"/>
        </w:rPr>
        <w:t>NO has important autocrine/paracrine effects in the myocardium in physiological settings, in general serving to optimise and fine tune cardiac function. NO exerts small positive inotropic effects, which may serve to enhance basal cardiac function and enhances myocyte relaxation and diastolic function. NO also accelerates relaxation and reduces diastolic tone</w:t>
      </w:r>
      <w:r w:rsidR="00BA6F9D" w:rsidRPr="00571A5F">
        <w:rPr>
          <w:rFonts w:ascii="Times New Roman" w:hAnsi="Times New Roman" w:cs="Times New Roman"/>
          <w:sz w:val="28"/>
          <w:szCs w:val="28"/>
          <w:lang w:val="en-GB"/>
        </w:rPr>
        <w:t xml:space="preserve"> </w:t>
      </w:r>
      <w:r w:rsidR="00BA6F9D" w:rsidRPr="00571A5F">
        <w:rPr>
          <w:rFonts w:ascii="Times New Roman" w:hAnsi="Times New Roman" w:cs="Times New Roman"/>
          <w:b/>
          <w:bCs/>
          <w:sz w:val="28"/>
          <w:szCs w:val="28"/>
          <w:lang w:val="en-GB"/>
        </w:rPr>
        <w:t>(8</w:t>
      </w:r>
      <w:r w:rsidRPr="00571A5F">
        <w:rPr>
          <w:rFonts w:ascii="Times New Roman" w:hAnsi="Times New Roman" w:cs="Times New Roman"/>
          <w:b/>
          <w:bCs/>
          <w:sz w:val="28"/>
          <w:szCs w:val="28"/>
          <w:lang w:val="en-GB"/>
        </w:rPr>
        <w:t>)</w:t>
      </w:r>
      <w:r w:rsidRPr="00571A5F">
        <w:rPr>
          <w:rFonts w:ascii="Times New Roman" w:hAnsi="Times New Roman" w:cs="Times New Roman"/>
          <w:sz w:val="28"/>
          <w:szCs w:val="28"/>
          <w:lang w:val="en-GB"/>
        </w:rPr>
        <w:t xml:space="preserve">. </w:t>
      </w:r>
    </w:p>
    <w:p w:rsidR="004B2204" w:rsidRPr="00571A5F" w:rsidRDefault="004B2204" w:rsidP="00571A5F">
      <w:pPr>
        <w:bidi w:val="0"/>
        <w:spacing w:line="360" w:lineRule="auto"/>
        <w:jc w:val="both"/>
        <w:rPr>
          <w:rFonts w:asciiTheme="majorBidi" w:hAnsiTheme="majorBidi" w:cstheme="majorBidi"/>
        </w:rPr>
      </w:pPr>
      <w:r w:rsidRPr="00571A5F">
        <w:rPr>
          <w:rFonts w:asciiTheme="majorBidi" w:hAnsiTheme="majorBidi" w:cstheme="majorBidi"/>
          <w:sz w:val="28"/>
          <w:szCs w:val="28"/>
        </w:rPr>
        <w:t>This</w:t>
      </w:r>
      <w:r w:rsidRPr="00514F02">
        <w:rPr>
          <w:rFonts w:asciiTheme="majorBidi" w:hAnsiTheme="majorBidi" w:cstheme="majorBidi"/>
          <w:color w:val="FF0000"/>
          <w:sz w:val="28"/>
          <w:szCs w:val="28"/>
        </w:rPr>
        <w:t xml:space="preserve"> </w:t>
      </w:r>
      <w:r w:rsidRPr="00350CD0">
        <w:rPr>
          <w:rFonts w:asciiTheme="majorBidi" w:hAnsiTheme="majorBidi" w:cstheme="majorBidi"/>
          <w:sz w:val="28"/>
          <w:szCs w:val="28"/>
        </w:rPr>
        <w:t xml:space="preserve">study </w:t>
      </w:r>
      <w:r w:rsidRPr="00571A5F">
        <w:rPr>
          <w:rFonts w:asciiTheme="majorBidi" w:hAnsiTheme="majorBidi" w:cstheme="majorBidi"/>
          <w:sz w:val="28"/>
          <w:szCs w:val="28"/>
        </w:rPr>
        <w:t xml:space="preserve">was designed to </w:t>
      </w:r>
      <w:r w:rsidRPr="00571A5F">
        <w:rPr>
          <w:rFonts w:asciiTheme="majorBidi" w:hAnsiTheme="majorBidi" w:cstheme="majorBidi"/>
          <w:sz w:val="28"/>
          <w:szCs w:val="28"/>
          <w:lang w:bidi="ar-EG"/>
        </w:rPr>
        <w:t xml:space="preserve">demonstrate </w:t>
      </w:r>
      <w:r w:rsidR="00A85270" w:rsidRPr="00571A5F">
        <w:rPr>
          <w:rFonts w:asciiTheme="majorBidi" w:hAnsiTheme="majorBidi" w:cstheme="majorBidi"/>
          <w:sz w:val="28"/>
          <w:szCs w:val="28"/>
        </w:rPr>
        <w:t>the cardiac effect of STG on DOX induced cardiotoxicity in adult male rats</w:t>
      </w:r>
      <w:r w:rsidRPr="00571A5F">
        <w:rPr>
          <w:rFonts w:asciiTheme="majorBidi" w:hAnsiTheme="majorBidi" w:cstheme="majorBidi"/>
          <w:sz w:val="28"/>
          <w:szCs w:val="28"/>
        </w:rPr>
        <w:t xml:space="preserve">, targeting </w:t>
      </w:r>
      <w:r w:rsidR="00A85270" w:rsidRPr="00571A5F">
        <w:rPr>
          <w:rStyle w:val="Strong"/>
          <w:rFonts w:asciiTheme="majorBidi" w:hAnsiTheme="majorBidi" w:cstheme="majorBidi"/>
          <w:b w:val="0"/>
          <w:bCs w:val="0"/>
          <w:sz w:val="28"/>
          <w:szCs w:val="28"/>
        </w:rPr>
        <w:t>the role of</w:t>
      </w:r>
      <w:r w:rsidR="00A85270" w:rsidRPr="00571A5F">
        <w:rPr>
          <w:rStyle w:val="Strong"/>
          <w:rFonts w:asciiTheme="majorBidi" w:hAnsiTheme="majorBidi" w:cstheme="majorBidi"/>
          <w:sz w:val="28"/>
          <w:szCs w:val="28"/>
        </w:rPr>
        <w:t xml:space="preserve"> </w:t>
      </w:r>
      <w:r w:rsidR="00A85270" w:rsidRPr="00571A5F">
        <w:rPr>
          <w:rFonts w:asciiTheme="majorBidi" w:hAnsiTheme="majorBidi" w:cstheme="majorBidi"/>
          <w:sz w:val="28"/>
          <w:szCs w:val="28"/>
        </w:rPr>
        <w:t>eNOS</w:t>
      </w:r>
      <w:r w:rsidRPr="00571A5F">
        <w:rPr>
          <w:rFonts w:asciiTheme="majorBidi" w:hAnsiTheme="majorBidi" w:cstheme="majorBidi"/>
          <w:sz w:val="28"/>
          <w:szCs w:val="28"/>
        </w:rPr>
        <w:t>.</w:t>
      </w:r>
    </w:p>
    <w:p w:rsidR="004B2204" w:rsidRPr="00571A5F" w:rsidRDefault="004B2204" w:rsidP="00571A5F">
      <w:pPr>
        <w:bidi w:val="0"/>
        <w:spacing w:line="360" w:lineRule="auto"/>
        <w:contextualSpacing/>
        <w:jc w:val="both"/>
        <w:rPr>
          <w:rFonts w:asciiTheme="majorBidi" w:hAnsiTheme="majorBidi" w:cstheme="majorBidi"/>
          <w:b/>
          <w:bCs/>
          <w:sz w:val="32"/>
          <w:szCs w:val="32"/>
          <w:lang w:bidi="ar-EG"/>
        </w:rPr>
      </w:pPr>
      <w:r w:rsidRPr="00571A5F">
        <w:rPr>
          <w:rFonts w:asciiTheme="majorBidi" w:hAnsiTheme="majorBidi" w:cstheme="majorBidi"/>
          <w:b/>
          <w:bCs/>
          <w:sz w:val="32"/>
          <w:szCs w:val="32"/>
          <w:lang w:bidi="ar-EG"/>
        </w:rPr>
        <w:t>2. MATERIAL AND METHODS:</w:t>
      </w:r>
    </w:p>
    <w:p w:rsidR="004B2204" w:rsidRPr="00571A5F" w:rsidRDefault="004B2204" w:rsidP="00571A5F">
      <w:pPr>
        <w:pStyle w:val="Default"/>
        <w:tabs>
          <w:tab w:val="left" w:pos="3630"/>
        </w:tabs>
        <w:spacing w:line="360" w:lineRule="auto"/>
        <w:contextualSpacing/>
        <w:jc w:val="both"/>
        <w:rPr>
          <w:rFonts w:asciiTheme="majorBidi" w:hAnsiTheme="majorBidi" w:cstheme="majorBidi"/>
          <w:color w:val="auto"/>
          <w:sz w:val="28"/>
          <w:szCs w:val="28"/>
        </w:rPr>
      </w:pPr>
      <w:r w:rsidRPr="00571A5F">
        <w:rPr>
          <w:rFonts w:asciiTheme="majorBidi" w:hAnsiTheme="majorBidi" w:cstheme="majorBidi"/>
          <w:b/>
          <w:bCs/>
          <w:sz w:val="28"/>
          <w:szCs w:val="28"/>
          <w:lang w:bidi="ar-EG"/>
        </w:rPr>
        <w:t xml:space="preserve">2.1. </w:t>
      </w:r>
      <w:r w:rsidRPr="00571A5F">
        <w:rPr>
          <w:rFonts w:asciiTheme="majorBidi" w:hAnsiTheme="majorBidi" w:cstheme="majorBidi"/>
          <w:b/>
          <w:bCs/>
          <w:color w:val="auto"/>
          <w:sz w:val="28"/>
          <w:szCs w:val="28"/>
        </w:rPr>
        <w:t>Chemical used:</w:t>
      </w:r>
      <w:r w:rsidR="00571A5F" w:rsidRPr="00571A5F">
        <w:rPr>
          <w:rFonts w:asciiTheme="majorBidi" w:hAnsiTheme="majorBidi" w:cstheme="majorBidi"/>
          <w:b/>
          <w:bCs/>
          <w:color w:val="auto"/>
          <w:sz w:val="28"/>
          <w:szCs w:val="28"/>
        </w:rPr>
        <w:tab/>
      </w:r>
    </w:p>
    <w:p w:rsidR="00571A5F" w:rsidRPr="00571A5F" w:rsidRDefault="00FA2543" w:rsidP="007F63AD">
      <w:pPr>
        <w:autoSpaceDE w:val="0"/>
        <w:autoSpaceDN w:val="0"/>
        <w:bidi w:val="0"/>
        <w:adjustRightInd w:val="0"/>
        <w:spacing w:after="100" w:afterAutospacing="1" w:line="360" w:lineRule="auto"/>
        <w:jc w:val="both"/>
        <w:rPr>
          <w:rFonts w:asciiTheme="majorBidi" w:hAnsiTheme="majorBidi" w:cstheme="majorBidi"/>
          <w:b/>
          <w:bCs/>
          <w:sz w:val="28"/>
          <w:szCs w:val="28"/>
        </w:rPr>
      </w:pPr>
      <w:r w:rsidRPr="00571A5F">
        <w:rPr>
          <w:rFonts w:asciiTheme="majorBidi" w:hAnsiTheme="majorBidi" w:cstheme="majorBidi"/>
          <w:b/>
          <w:bCs/>
          <w:sz w:val="28"/>
          <w:szCs w:val="28"/>
        </w:rPr>
        <w:t xml:space="preserve">DOX, </w:t>
      </w:r>
      <w:r w:rsidR="00C63F75" w:rsidRPr="00571A5F">
        <w:rPr>
          <w:rFonts w:asciiTheme="majorBidi" w:hAnsiTheme="majorBidi" w:cstheme="majorBidi"/>
          <w:sz w:val="28"/>
          <w:szCs w:val="28"/>
        </w:rPr>
        <w:t>p</w:t>
      </w:r>
      <w:r w:rsidRPr="00571A5F">
        <w:rPr>
          <w:rFonts w:asciiTheme="majorBidi" w:hAnsiTheme="majorBidi" w:cstheme="majorBidi"/>
          <w:sz w:val="28"/>
          <w:szCs w:val="28"/>
        </w:rPr>
        <w:t>rovided as ampoules (D-RUBILEE-50 ampoules) (by Magicine Pharma CO., New Delhi, India. Lot No</w:t>
      </w:r>
      <w:r w:rsidR="00EB4716" w:rsidRPr="00571A5F">
        <w:rPr>
          <w:rFonts w:asciiTheme="majorBidi" w:hAnsiTheme="majorBidi" w:cstheme="majorBidi"/>
          <w:sz w:val="28"/>
          <w:szCs w:val="28"/>
        </w:rPr>
        <w:t>: DXLL18B24-B),</w:t>
      </w:r>
      <w:r w:rsidRPr="00571A5F">
        <w:rPr>
          <w:rFonts w:asciiTheme="majorBidi" w:hAnsiTheme="majorBidi" w:cstheme="majorBidi"/>
          <w:sz w:val="28"/>
          <w:szCs w:val="28"/>
        </w:rPr>
        <w:t xml:space="preserve"> </w:t>
      </w:r>
      <w:r w:rsidRPr="00571A5F">
        <w:rPr>
          <w:rFonts w:asciiTheme="majorBidi" w:hAnsiTheme="majorBidi" w:cstheme="majorBidi"/>
          <w:b/>
          <w:bCs/>
          <w:sz w:val="28"/>
          <w:szCs w:val="28"/>
        </w:rPr>
        <w:t xml:space="preserve">STG, </w:t>
      </w:r>
      <w:r w:rsidR="00C63F75" w:rsidRPr="00571A5F">
        <w:rPr>
          <w:rFonts w:asciiTheme="majorBidi" w:hAnsiTheme="majorBidi" w:cstheme="majorBidi"/>
          <w:sz w:val="28"/>
          <w:szCs w:val="28"/>
        </w:rPr>
        <w:t>p</w:t>
      </w:r>
      <w:r w:rsidRPr="00571A5F">
        <w:rPr>
          <w:rFonts w:asciiTheme="majorBidi" w:hAnsiTheme="majorBidi" w:cstheme="majorBidi"/>
          <w:sz w:val="28"/>
          <w:szCs w:val="28"/>
        </w:rPr>
        <w:t>rovided as tablets (</w:t>
      </w:r>
      <w:hyperlink r:id="rId6" w:history="1">
        <w:r w:rsidRPr="00571A5F">
          <w:rPr>
            <w:rFonts w:asciiTheme="majorBidi" w:hAnsiTheme="majorBidi" w:cstheme="majorBidi"/>
            <w:sz w:val="28"/>
            <w:szCs w:val="28"/>
          </w:rPr>
          <w:t>JANUVIA 100mg tablets)</w:t>
        </w:r>
      </w:hyperlink>
      <w:r w:rsidRPr="00571A5F">
        <w:rPr>
          <w:rFonts w:asciiTheme="majorBidi" w:hAnsiTheme="majorBidi" w:cstheme="majorBidi"/>
          <w:sz w:val="28"/>
          <w:szCs w:val="28"/>
        </w:rPr>
        <w:t xml:space="preserve"> (by Merck Sharp and Dohme Company, Northumberland, UK. Lot No: S008904)</w:t>
      </w:r>
      <w:r w:rsidR="006C366F" w:rsidRPr="00571A5F">
        <w:rPr>
          <w:rFonts w:asciiTheme="majorBidi" w:hAnsiTheme="majorBidi" w:cstheme="majorBidi"/>
          <w:sz w:val="28"/>
          <w:szCs w:val="28"/>
        </w:rPr>
        <w:t xml:space="preserve"> </w:t>
      </w:r>
      <w:r w:rsidRPr="00571A5F">
        <w:rPr>
          <w:rFonts w:asciiTheme="majorBidi" w:hAnsiTheme="majorBidi" w:cstheme="majorBidi"/>
          <w:sz w:val="28"/>
          <w:szCs w:val="28"/>
        </w:rPr>
        <w:t>and</w:t>
      </w:r>
      <w:r w:rsidRPr="00571A5F">
        <w:rPr>
          <w:rFonts w:asciiTheme="majorBidi" w:hAnsiTheme="majorBidi" w:cstheme="majorBidi"/>
          <w:b/>
          <w:bCs/>
          <w:sz w:val="28"/>
          <w:szCs w:val="28"/>
        </w:rPr>
        <w:t xml:space="preserve"> L-NAME, </w:t>
      </w:r>
      <w:r w:rsidR="00C63F75" w:rsidRPr="00571A5F">
        <w:rPr>
          <w:rFonts w:asciiTheme="majorBidi" w:hAnsiTheme="majorBidi" w:cstheme="majorBidi"/>
          <w:sz w:val="28"/>
          <w:szCs w:val="28"/>
        </w:rPr>
        <w:t>p</w:t>
      </w:r>
      <w:r w:rsidRPr="00571A5F">
        <w:rPr>
          <w:rFonts w:asciiTheme="majorBidi" w:hAnsiTheme="majorBidi" w:cstheme="majorBidi"/>
          <w:sz w:val="28"/>
          <w:szCs w:val="28"/>
        </w:rPr>
        <w:t>rovided as white powder (by Sigma, NewYork, U.S.A. Lot No: BCBK7552V</w:t>
      </w:r>
      <w:r w:rsidR="00F942DF" w:rsidRPr="00571A5F">
        <w:rPr>
          <w:rFonts w:asciiTheme="majorBidi" w:hAnsiTheme="majorBidi" w:cstheme="majorBidi"/>
          <w:sz w:val="28"/>
          <w:szCs w:val="28"/>
        </w:rPr>
        <w:t>).</w:t>
      </w:r>
    </w:p>
    <w:p w:rsidR="004B2204" w:rsidRPr="00571A5F" w:rsidRDefault="004B2204" w:rsidP="00571A5F">
      <w:pPr>
        <w:bidi w:val="0"/>
        <w:spacing w:line="360" w:lineRule="auto"/>
        <w:contextualSpacing/>
        <w:jc w:val="both"/>
        <w:rPr>
          <w:rFonts w:asciiTheme="majorBidi" w:hAnsiTheme="majorBidi" w:cstheme="majorBidi"/>
          <w:lang w:bidi="ar-EG"/>
        </w:rPr>
      </w:pPr>
      <w:r w:rsidRPr="00571A5F">
        <w:rPr>
          <w:rFonts w:asciiTheme="majorBidi" w:hAnsiTheme="majorBidi" w:cstheme="majorBidi"/>
          <w:b/>
          <w:bCs/>
          <w:sz w:val="28"/>
          <w:szCs w:val="28"/>
          <w:lang w:bidi="ar-EG"/>
        </w:rPr>
        <w:t>2.2. Animals:</w:t>
      </w:r>
    </w:p>
    <w:p w:rsidR="004B2204" w:rsidRPr="00571A5F" w:rsidRDefault="004B2204" w:rsidP="00571A5F">
      <w:pPr>
        <w:bidi w:val="0"/>
        <w:spacing w:line="360" w:lineRule="auto"/>
        <w:ind w:firstLine="720"/>
        <w:contextualSpacing/>
        <w:jc w:val="both"/>
        <w:rPr>
          <w:rFonts w:asciiTheme="majorBidi" w:hAnsiTheme="majorBidi" w:cstheme="majorBidi"/>
          <w:sz w:val="28"/>
          <w:szCs w:val="28"/>
        </w:rPr>
      </w:pPr>
      <w:r w:rsidRPr="00571A5F">
        <w:rPr>
          <w:rFonts w:asciiTheme="majorBidi" w:hAnsiTheme="majorBidi" w:cstheme="majorBidi"/>
          <w:sz w:val="28"/>
          <w:szCs w:val="28"/>
        </w:rPr>
        <w:t xml:space="preserve">This experimental study was achieved using </w:t>
      </w:r>
      <w:r w:rsidR="00EA34AF" w:rsidRPr="00571A5F">
        <w:rPr>
          <w:rFonts w:asciiTheme="majorBidi" w:hAnsiTheme="majorBidi" w:cstheme="majorBidi"/>
          <w:sz w:val="28"/>
          <w:szCs w:val="28"/>
        </w:rPr>
        <w:t>24</w:t>
      </w:r>
      <w:r w:rsidRPr="00571A5F">
        <w:rPr>
          <w:rFonts w:asciiTheme="majorBidi" w:hAnsiTheme="majorBidi" w:cstheme="majorBidi"/>
          <w:sz w:val="28"/>
          <w:szCs w:val="28"/>
        </w:rPr>
        <w:t xml:space="preserve"> adult male albino rats aged above 2 months and the weight is between 180 and 220 g. </w:t>
      </w:r>
      <w:r w:rsidRPr="00571A5F">
        <w:rPr>
          <w:rFonts w:asciiTheme="majorBidi" w:hAnsiTheme="majorBidi" w:cstheme="majorBidi"/>
          <w:sz w:val="28"/>
          <w:szCs w:val="28"/>
          <w:lang w:bidi="ar-EG"/>
        </w:rPr>
        <w:t xml:space="preserve">They were obtained from the animal research center, Faculty of Veterinary Medicine, Benha University. </w:t>
      </w:r>
      <w:r w:rsidRPr="00571A5F">
        <w:rPr>
          <w:rFonts w:asciiTheme="majorBidi" w:hAnsiTheme="majorBidi" w:cstheme="majorBidi"/>
          <w:sz w:val="28"/>
          <w:szCs w:val="28"/>
        </w:rPr>
        <w:t>Each 4 rats were placed in a separate cage and were fed a standard diet, with free access to food and water. They were placed at room temperature (25</w:t>
      </w:r>
      <w:r w:rsidRPr="00571A5F">
        <w:rPr>
          <w:rFonts w:asciiTheme="majorBidi" w:hAnsiTheme="majorBidi" w:cstheme="majorBidi"/>
          <w:sz w:val="28"/>
          <w:szCs w:val="28"/>
          <w:vertAlign w:val="superscript"/>
        </w:rPr>
        <w:t xml:space="preserve">o </w:t>
      </w:r>
      <w:r w:rsidRPr="00571A5F">
        <w:rPr>
          <w:rFonts w:asciiTheme="majorBidi" w:hAnsiTheme="majorBidi" w:cstheme="majorBidi"/>
          <w:sz w:val="28"/>
          <w:szCs w:val="28"/>
        </w:rPr>
        <w:t xml:space="preserve">c) with a 12:12-h light/dark cycle. These conditions were continued </w:t>
      </w:r>
      <w:r w:rsidRPr="00571A5F">
        <w:rPr>
          <w:rFonts w:asciiTheme="majorBidi" w:hAnsiTheme="majorBidi" w:cstheme="majorBidi"/>
          <w:sz w:val="28"/>
          <w:szCs w:val="28"/>
          <w:lang w:bidi="ar-EG"/>
        </w:rPr>
        <w:t>for 10 days before the experiment</w:t>
      </w:r>
      <w:r w:rsidRPr="00571A5F">
        <w:rPr>
          <w:rFonts w:asciiTheme="majorBidi" w:hAnsiTheme="majorBidi" w:cstheme="majorBidi"/>
          <w:sz w:val="28"/>
          <w:szCs w:val="28"/>
        </w:rPr>
        <w:t xml:space="preserve"> </w:t>
      </w:r>
      <w:r w:rsidRPr="00571A5F">
        <w:rPr>
          <w:rFonts w:asciiTheme="majorBidi" w:hAnsiTheme="majorBidi" w:cstheme="majorBidi"/>
          <w:sz w:val="28"/>
          <w:szCs w:val="28"/>
          <w:lang w:bidi="ar-EG"/>
        </w:rPr>
        <w:t>for acclimatization</w:t>
      </w:r>
      <w:r w:rsidRPr="00571A5F">
        <w:rPr>
          <w:rFonts w:asciiTheme="majorBidi" w:hAnsiTheme="majorBidi" w:cstheme="majorBidi"/>
          <w:sz w:val="28"/>
          <w:szCs w:val="28"/>
        </w:rPr>
        <w:t xml:space="preserve">. The study period lasted for </w:t>
      </w:r>
      <w:r w:rsidR="00EA34AF" w:rsidRPr="00571A5F">
        <w:rPr>
          <w:rFonts w:asciiTheme="majorBidi" w:hAnsiTheme="majorBidi" w:cstheme="majorBidi"/>
          <w:sz w:val="28"/>
          <w:szCs w:val="28"/>
        </w:rPr>
        <w:t>3</w:t>
      </w:r>
      <w:r w:rsidRPr="00571A5F">
        <w:rPr>
          <w:rFonts w:asciiTheme="majorBidi" w:hAnsiTheme="majorBidi" w:cstheme="majorBidi"/>
          <w:sz w:val="28"/>
          <w:szCs w:val="28"/>
        </w:rPr>
        <w:t xml:space="preserve"> weeks</w:t>
      </w:r>
      <w:r w:rsidR="00EA34AF" w:rsidRPr="00571A5F">
        <w:rPr>
          <w:rFonts w:asciiTheme="majorBidi" w:hAnsiTheme="majorBidi" w:cstheme="majorBidi"/>
          <w:sz w:val="28"/>
          <w:szCs w:val="28"/>
        </w:rPr>
        <w:t xml:space="preserve">. </w:t>
      </w:r>
      <w:r w:rsidRPr="00571A5F">
        <w:rPr>
          <w:rFonts w:asciiTheme="majorBidi" w:hAnsiTheme="majorBidi" w:cstheme="majorBidi"/>
          <w:sz w:val="28"/>
          <w:szCs w:val="28"/>
          <w:lang w:bidi="ar-EG"/>
        </w:rPr>
        <w:t xml:space="preserve">Experimental rats should be under complete healthy conditions all over the experiment and under care of a professional technician and a qualified researcher. All procedures were approved by ethical committee of Benha faculty of medicine. No rats were died throughout the experiment. At the end of the study the rats were incinerated at Benha university hospital incinerator. </w:t>
      </w:r>
    </w:p>
    <w:p w:rsidR="004B2204" w:rsidRPr="00571A5F" w:rsidRDefault="004B2204" w:rsidP="00571A5F">
      <w:pPr>
        <w:bidi w:val="0"/>
        <w:spacing w:line="360" w:lineRule="auto"/>
        <w:contextualSpacing/>
        <w:jc w:val="both"/>
        <w:rPr>
          <w:rFonts w:asciiTheme="majorBidi" w:hAnsiTheme="majorBidi" w:cstheme="majorBidi"/>
          <w:lang w:bidi="ar-EG"/>
        </w:rPr>
      </w:pPr>
      <w:r w:rsidRPr="00571A5F">
        <w:rPr>
          <w:rFonts w:asciiTheme="majorBidi" w:hAnsiTheme="majorBidi" w:cstheme="majorBidi"/>
          <w:b/>
          <w:bCs/>
          <w:sz w:val="28"/>
          <w:szCs w:val="28"/>
          <w:lang w:bidi="ar-EG"/>
        </w:rPr>
        <w:t>2.3. Experimental design:</w:t>
      </w:r>
    </w:p>
    <w:p w:rsidR="0057047C" w:rsidRDefault="004B2204" w:rsidP="007F63AD">
      <w:pPr>
        <w:pStyle w:val="Heading1"/>
        <w:tabs>
          <w:tab w:val="left" w:pos="461"/>
        </w:tabs>
        <w:spacing w:before="200" w:line="360" w:lineRule="auto"/>
        <w:ind w:left="100" w:firstLine="0"/>
        <w:jc w:val="both"/>
        <w:rPr>
          <w:b w:val="0"/>
          <w:bCs w:val="0"/>
          <w:sz w:val="28"/>
          <w:szCs w:val="28"/>
          <w:lang w:bidi="ar-EG"/>
        </w:rPr>
      </w:pPr>
      <w:r w:rsidRPr="00571A5F">
        <w:rPr>
          <w:rFonts w:asciiTheme="majorBidi" w:hAnsiTheme="majorBidi" w:cstheme="majorBidi"/>
          <w:b w:val="0"/>
          <w:bCs w:val="0"/>
          <w:sz w:val="28"/>
          <w:szCs w:val="28"/>
          <w:lang w:bidi="ar-EG"/>
        </w:rPr>
        <w:t>The rats included in this study were classified into 4 main groups;</w:t>
      </w:r>
      <w:r w:rsidR="006A260B" w:rsidRPr="00571A5F">
        <w:rPr>
          <w:rFonts w:asciiTheme="majorBidi" w:hAnsiTheme="majorBidi" w:cstheme="majorBidi"/>
          <w:b w:val="0"/>
          <w:bCs w:val="0"/>
          <w:iCs/>
          <w:sz w:val="28"/>
          <w:szCs w:val="28"/>
        </w:rPr>
        <w:t xml:space="preserve"> </w:t>
      </w:r>
      <w:r w:rsidR="006A260B" w:rsidRPr="00571A5F">
        <w:rPr>
          <w:b w:val="0"/>
          <w:bCs w:val="0"/>
          <w:sz w:val="28"/>
          <w:szCs w:val="28"/>
        </w:rPr>
        <w:t>Group (I) (Control group), rats were injected by saline</w:t>
      </w:r>
      <w:r w:rsidR="006A260B" w:rsidRPr="00571A5F">
        <w:rPr>
          <w:b w:val="0"/>
          <w:bCs w:val="0"/>
          <w:sz w:val="28"/>
          <w:szCs w:val="28"/>
          <w:lang w:bidi="ar-EG"/>
        </w:rPr>
        <w:t xml:space="preserve"> intra peritoneal (i.p)</w:t>
      </w:r>
      <w:r w:rsidR="006A260B" w:rsidRPr="00571A5F">
        <w:rPr>
          <w:b w:val="0"/>
          <w:bCs w:val="0"/>
          <w:sz w:val="28"/>
          <w:szCs w:val="28"/>
        </w:rPr>
        <w:t xml:space="preserve"> (2.5 ml/kg/ day)</w:t>
      </w:r>
      <w:r w:rsidR="006A260B" w:rsidRPr="00571A5F">
        <w:rPr>
          <w:b w:val="0"/>
          <w:bCs w:val="0"/>
          <w:sz w:val="18"/>
          <w:szCs w:val="18"/>
        </w:rPr>
        <w:t xml:space="preserve"> </w:t>
      </w:r>
      <w:r w:rsidR="006A260B" w:rsidRPr="00571A5F">
        <w:rPr>
          <w:b w:val="0"/>
          <w:bCs w:val="0"/>
          <w:sz w:val="28"/>
          <w:szCs w:val="28"/>
        </w:rPr>
        <w:t>for 3 weeks, Group (II) (DOX group):</w:t>
      </w:r>
      <w:r w:rsidR="006A260B" w:rsidRPr="00571A5F">
        <w:rPr>
          <w:b w:val="0"/>
          <w:bCs w:val="0"/>
          <w:sz w:val="28"/>
          <w:szCs w:val="28"/>
          <w:lang w:bidi="ar-EG"/>
        </w:rPr>
        <w:t xml:space="preserve"> rats were injected by DOX (1mg/kg i.p per day) at rate of 5 injections per week, for 3 weeks to produce cumulative dose of 15mg/kg, </w:t>
      </w:r>
      <w:r w:rsidR="006A260B" w:rsidRPr="00571A5F">
        <w:rPr>
          <w:b w:val="0"/>
          <w:bCs w:val="0"/>
          <w:sz w:val="28"/>
          <w:szCs w:val="28"/>
        </w:rPr>
        <w:t xml:space="preserve">Group (III) (STG group): </w:t>
      </w:r>
      <w:r w:rsidR="006A260B" w:rsidRPr="00571A5F">
        <w:rPr>
          <w:b w:val="0"/>
          <w:bCs w:val="0"/>
          <w:sz w:val="28"/>
          <w:szCs w:val="28"/>
          <w:lang w:bidi="ar-EG"/>
        </w:rPr>
        <w:t>same dose of </w:t>
      </w:r>
      <w:hyperlink r:id="rId7" w:tgtFrame="_blank" w:history="1">
        <w:r w:rsidR="006A260B" w:rsidRPr="00571A5F">
          <w:rPr>
            <w:b w:val="0"/>
            <w:bCs w:val="0"/>
            <w:sz w:val="28"/>
            <w:szCs w:val="28"/>
            <w:lang w:bidi="ar-EG"/>
          </w:rPr>
          <w:t>DOX</w:t>
        </w:r>
      </w:hyperlink>
      <w:r w:rsidR="006A260B" w:rsidRPr="00571A5F">
        <w:rPr>
          <w:b w:val="0"/>
          <w:bCs w:val="0"/>
          <w:sz w:val="28"/>
          <w:szCs w:val="28"/>
          <w:lang w:bidi="ar-EG"/>
        </w:rPr>
        <w:t xml:space="preserve"> was injected as in group II then rats were given STG (10 mg/kg/day) orally by esophageal tube for 3 weeks</w:t>
      </w:r>
      <w:r w:rsidR="002F1A40" w:rsidRPr="00571A5F">
        <w:rPr>
          <w:b w:val="0"/>
          <w:bCs w:val="0"/>
          <w:sz w:val="28"/>
          <w:szCs w:val="28"/>
        </w:rPr>
        <w:t>, Group (IV) (</w:t>
      </w:r>
      <w:r w:rsidR="006A260B" w:rsidRPr="00571A5F">
        <w:rPr>
          <w:b w:val="0"/>
          <w:bCs w:val="0"/>
          <w:sz w:val="28"/>
          <w:szCs w:val="28"/>
        </w:rPr>
        <w:t xml:space="preserve"> STG +L-NAME group):</w:t>
      </w:r>
      <w:r w:rsidR="006A260B" w:rsidRPr="00571A5F">
        <w:rPr>
          <w:b w:val="0"/>
          <w:bCs w:val="0"/>
          <w:sz w:val="28"/>
          <w:szCs w:val="28"/>
          <w:lang w:bidi="ar-EG"/>
        </w:rPr>
        <w:t xml:space="preserve">DOX was injected i.p then rats were given STG (10 mg/kg/day) orally by esophageal tube </w:t>
      </w:r>
      <w:r w:rsidR="006A260B" w:rsidRPr="00571A5F">
        <w:rPr>
          <w:b w:val="0"/>
          <w:bCs w:val="0"/>
          <w:sz w:val="28"/>
          <w:szCs w:val="28"/>
        </w:rPr>
        <w:t>then L-NAME was given in a dose of</w:t>
      </w:r>
      <w:r w:rsidR="006A260B" w:rsidRPr="00571A5F">
        <w:rPr>
          <w:b w:val="0"/>
          <w:bCs w:val="0"/>
          <w:sz w:val="28"/>
          <w:szCs w:val="28"/>
          <w:lang w:bidi="ar-EG"/>
        </w:rPr>
        <w:t xml:space="preserve"> (40 mg/kg/day) orally by esophageal tube for 3 weeks</w:t>
      </w:r>
      <w:r w:rsidR="005727C4" w:rsidRPr="00571A5F">
        <w:rPr>
          <w:b w:val="0"/>
          <w:bCs w:val="0"/>
          <w:sz w:val="28"/>
          <w:szCs w:val="28"/>
          <w:lang w:bidi="ar-EG"/>
        </w:rPr>
        <w:t>.</w:t>
      </w:r>
    </w:p>
    <w:p w:rsidR="004B2204" w:rsidRPr="00571A5F" w:rsidRDefault="004B2204" w:rsidP="00571A5F">
      <w:pPr>
        <w:bidi w:val="0"/>
        <w:spacing w:line="360" w:lineRule="auto"/>
        <w:contextualSpacing/>
        <w:jc w:val="both"/>
        <w:rPr>
          <w:rFonts w:asciiTheme="majorBidi" w:hAnsiTheme="majorBidi" w:cstheme="majorBidi"/>
          <w:b/>
          <w:bCs/>
          <w:sz w:val="28"/>
          <w:szCs w:val="28"/>
          <w:lang w:bidi="ar-EG"/>
        </w:rPr>
      </w:pPr>
      <w:r w:rsidRPr="00571A5F">
        <w:rPr>
          <w:rFonts w:asciiTheme="majorBidi" w:hAnsiTheme="majorBidi" w:cstheme="majorBidi"/>
          <w:b/>
          <w:bCs/>
          <w:sz w:val="28"/>
          <w:szCs w:val="28"/>
          <w:lang w:bidi="ar-EG"/>
        </w:rPr>
        <w:t>2.4. Procedure of the experiments:</w:t>
      </w:r>
    </w:p>
    <w:p w:rsidR="00571A5F" w:rsidRDefault="00F24423" w:rsidP="00571A5F">
      <w:pPr>
        <w:bidi w:val="0"/>
        <w:spacing w:before="120" w:after="120" w:line="360" w:lineRule="auto"/>
        <w:ind w:firstLine="720"/>
        <w:contextualSpacing/>
        <w:jc w:val="both"/>
        <w:rPr>
          <w:rFonts w:asciiTheme="majorBidi" w:hAnsiTheme="majorBidi" w:cstheme="majorBidi"/>
          <w:sz w:val="28"/>
          <w:szCs w:val="28"/>
        </w:rPr>
      </w:pPr>
      <w:r w:rsidRPr="00571A5F">
        <w:rPr>
          <w:rFonts w:asciiTheme="majorBidi" w:hAnsiTheme="majorBidi" w:cstheme="majorBidi"/>
          <w:sz w:val="28"/>
          <w:szCs w:val="28"/>
          <w:lang w:bidi="ar-EG"/>
        </w:rPr>
        <w:t>SBP, DBP and ECG</w:t>
      </w:r>
      <w:r w:rsidR="004B2204" w:rsidRPr="00571A5F">
        <w:rPr>
          <w:rFonts w:asciiTheme="majorBidi" w:hAnsiTheme="majorBidi" w:cstheme="majorBidi"/>
          <w:sz w:val="28"/>
          <w:szCs w:val="28"/>
          <w:lang w:bidi="ar-EG"/>
        </w:rPr>
        <w:t xml:space="preserve"> of each rat</w:t>
      </w:r>
      <w:r w:rsidRPr="00571A5F">
        <w:rPr>
          <w:rFonts w:asciiTheme="majorBidi" w:hAnsiTheme="majorBidi" w:cstheme="majorBidi"/>
          <w:sz w:val="28"/>
          <w:szCs w:val="28"/>
          <w:lang w:bidi="ar-EG"/>
        </w:rPr>
        <w:t xml:space="preserve"> were recorded </w:t>
      </w:r>
      <w:r w:rsidR="004B2204" w:rsidRPr="00571A5F">
        <w:rPr>
          <w:rFonts w:asciiTheme="majorBidi" w:hAnsiTheme="majorBidi" w:cstheme="majorBidi"/>
          <w:sz w:val="28"/>
          <w:szCs w:val="28"/>
          <w:lang w:bidi="ar-EG"/>
        </w:rPr>
        <w:t>at the</w:t>
      </w:r>
      <w:r w:rsidR="004A1472" w:rsidRPr="00571A5F">
        <w:rPr>
          <w:rFonts w:asciiTheme="majorBidi" w:hAnsiTheme="majorBidi" w:cstheme="majorBidi"/>
          <w:sz w:val="28"/>
          <w:szCs w:val="28"/>
          <w:lang w:bidi="ar-EG"/>
        </w:rPr>
        <w:t xml:space="preserve"> end of the experiment, </w:t>
      </w:r>
      <w:r w:rsidR="004B2204" w:rsidRPr="00571A5F">
        <w:rPr>
          <w:rFonts w:ascii="Times New Roman" w:hAnsi="Times New Roman" w:cs="Times New Roman"/>
          <w:sz w:val="28"/>
          <w:szCs w:val="28"/>
          <w:lang w:bidi="ar-EG"/>
        </w:rPr>
        <w:t xml:space="preserve">then the animals were fixed on operating </w:t>
      </w:r>
      <w:r w:rsidR="00F274D6" w:rsidRPr="00571A5F">
        <w:rPr>
          <w:rFonts w:asciiTheme="majorBidi" w:hAnsiTheme="majorBidi" w:cstheme="majorBidi"/>
          <w:sz w:val="28"/>
          <w:szCs w:val="28"/>
        </w:rPr>
        <w:t xml:space="preserve">table and a </w:t>
      </w:r>
      <w:r w:rsidR="00825D3C" w:rsidRPr="00571A5F">
        <w:rPr>
          <w:rFonts w:asciiTheme="majorBidi" w:hAnsiTheme="majorBidi" w:cstheme="majorBidi"/>
          <w:sz w:val="28"/>
          <w:szCs w:val="28"/>
        </w:rPr>
        <w:t>craniocaudal incision of about 2 cm was made, parallel with and slightly to the left of the sternum</w:t>
      </w:r>
      <w:r w:rsidR="00825D3C" w:rsidRPr="00571A5F">
        <w:t xml:space="preserve"> </w:t>
      </w:r>
      <w:r w:rsidR="004B2204" w:rsidRPr="00571A5F">
        <w:rPr>
          <w:rFonts w:ascii="Times New Roman" w:hAnsi="Times New Roman" w:cs="Times New Roman"/>
          <w:sz w:val="28"/>
          <w:szCs w:val="28"/>
          <w:lang w:bidi="ar-EG"/>
        </w:rPr>
        <w:t xml:space="preserve">and the blood samples were taken </w:t>
      </w:r>
      <w:r w:rsidR="004B2204" w:rsidRPr="00571A5F">
        <w:rPr>
          <w:rFonts w:asciiTheme="majorBidi" w:hAnsiTheme="majorBidi" w:cstheme="majorBidi"/>
          <w:sz w:val="28"/>
          <w:szCs w:val="28"/>
        </w:rPr>
        <w:t>from aorta then were put into non-heparinized tubes and allowed to clot.</w:t>
      </w:r>
      <w:r w:rsidR="004B2204" w:rsidRPr="00571A5F">
        <w:rPr>
          <w:rFonts w:asciiTheme="majorBidi" w:hAnsiTheme="majorBidi" w:cstheme="majorBidi"/>
          <w:sz w:val="28"/>
          <w:szCs w:val="28"/>
          <w:lang w:bidi="ar-EG"/>
        </w:rPr>
        <w:t xml:space="preserve"> Then the </w:t>
      </w:r>
      <w:r w:rsidRPr="00571A5F">
        <w:rPr>
          <w:rFonts w:asciiTheme="majorBidi" w:hAnsiTheme="majorBidi" w:cstheme="majorBidi"/>
          <w:sz w:val="28"/>
          <w:szCs w:val="28"/>
          <w:lang w:bidi="ar-EG"/>
        </w:rPr>
        <w:t>hearts</w:t>
      </w:r>
      <w:r w:rsidR="004B2204" w:rsidRPr="00571A5F">
        <w:rPr>
          <w:rFonts w:asciiTheme="majorBidi" w:hAnsiTheme="majorBidi" w:cstheme="majorBidi"/>
          <w:sz w:val="28"/>
          <w:szCs w:val="28"/>
          <w:lang w:bidi="ar-EG"/>
        </w:rPr>
        <w:t xml:space="preserve"> were excised,</w:t>
      </w:r>
      <w:r w:rsidRPr="00571A5F">
        <w:rPr>
          <w:rFonts w:asciiTheme="majorBidi" w:hAnsiTheme="majorBidi" w:cstheme="majorBidi"/>
          <w:sz w:val="28"/>
          <w:szCs w:val="28"/>
          <w:lang w:bidi="ar-EG"/>
        </w:rPr>
        <w:t xml:space="preserve"> washed and stored</w:t>
      </w:r>
      <w:r w:rsidR="004B2204" w:rsidRPr="00571A5F">
        <w:rPr>
          <w:rFonts w:asciiTheme="majorBidi" w:hAnsiTheme="majorBidi" w:cstheme="majorBidi"/>
          <w:sz w:val="28"/>
          <w:szCs w:val="28"/>
          <w:lang w:bidi="ar-EG"/>
        </w:rPr>
        <w:t>.</w:t>
      </w:r>
    </w:p>
    <w:p w:rsidR="004B2204" w:rsidRPr="00571A5F" w:rsidRDefault="004B2204" w:rsidP="00571A5F">
      <w:pPr>
        <w:bidi w:val="0"/>
        <w:spacing w:before="120" w:after="120" w:line="360" w:lineRule="auto"/>
        <w:contextualSpacing/>
        <w:jc w:val="both"/>
        <w:rPr>
          <w:rFonts w:asciiTheme="majorBidi" w:hAnsiTheme="majorBidi" w:cstheme="majorBidi"/>
          <w:sz w:val="28"/>
          <w:szCs w:val="28"/>
        </w:rPr>
      </w:pPr>
      <w:r w:rsidRPr="00571A5F">
        <w:rPr>
          <w:rFonts w:asciiTheme="majorBidi" w:hAnsiTheme="majorBidi" w:cstheme="majorBidi"/>
          <w:b/>
          <w:bCs/>
          <w:sz w:val="28"/>
          <w:szCs w:val="28"/>
          <w:lang w:bidi="ar-EG"/>
        </w:rPr>
        <w:t xml:space="preserve">2.5. </w:t>
      </w:r>
      <w:r w:rsidRPr="00571A5F">
        <w:rPr>
          <w:rFonts w:asciiTheme="majorBidi" w:hAnsiTheme="majorBidi" w:cstheme="majorBidi"/>
          <w:b/>
          <w:bCs/>
          <w:sz w:val="28"/>
          <w:szCs w:val="28"/>
        </w:rPr>
        <w:t>Parameters assay:</w:t>
      </w:r>
    </w:p>
    <w:p w:rsidR="00137A40" w:rsidRPr="00571A5F" w:rsidRDefault="00137A40" w:rsidP="00571A5F">
      <w:pPr>
        <w:spacing w:before="100" w:beforeAutospacing="1" w:after="100" w:afterAutospacing="1" w:line="360" w:lineRule="auto"/>
        <w:ind w:left="820"/>
        <w:contextualSpacing/>
        <w:jc w:val="right"/>
        <w:rPr>
          <w:rFonts w:asciiTheme="majorBidi" w:hAnsiTheme="majorBidi" w:cstheme="majorBidi"/>
          <w:b/>
          <w:bCs/>
          <w:sz w:val="28"/>
          <w:szCs w:val="28"/>
          <w:u w:val="single"/>
          <w:rtl/>
          <w:lang w:bidi="ar-EG"/>
        </w:rPr>
      </w:pPr>
      <w:r w:rsidRPr="00571A5F">
        <w:rPr>
          <w:rFonts w:asciiTheme="majorBidi" w:hAnsiTheme="majorBidi" w:cstheme="majorBidi"/>
          <w:b/>
          <w:bCs/>
          <w:sz w:val="28"/>
          <w:szCs w:val="28"/>
          <w:u w:val="single"/>
        </w:rPr>
        <w:t>ABP measurement</w:t>
      </w:r>
    </w:p>
    <w:p w:rsidR="00137A40" w:rsidRPr="00571A5F" w:rsidRDefault="00137A40" w:rsidP="00571A5F">
      <w:pPr>
        <w:tabs>
          <w:tab w:val="left" w:pos="3496"/>
        </w:tabs>
        <w:bidi w:val="0"/>
        <w:spacing w:line="360" w:lineRule="auto"/>
        <w:contextualSpacing/>
        <w:jc w:val="both"/>
        <w:rPr>
          <w:rFonts w:asciiTheme="majorBidi" w:hAnsiTheme="majorBidi" w:cstheme="majorBidi"/>
          <w:sz w:val="28"/>
          <w:szCs w:val="28"/>
        </w:rPr>
      </w:pPr>
      <w:r w:rsidRPr="00571A5F">
        <w:rPr>
          <w:rFonts w:asciiTheme="majorBidi" w:hAnsiTheme="majorBidi" w:cstheme="majorBidi"/>
          <w:sz w:val="28"/>
          <w:szCs w:val="28"/>
        </w:rPr>
        <w:t>At the end of the experiment (on the 21</w:t>
      </w:r>
      <w:r w:rsidRPr="00571A5F">
        <w:rPr>
          <w:rFonts w:asciiTheme="majorBidi" w:hAnsiTheme="majorBidi" w:cstheme="majorBidi"/>
          <w:sz w:val="28"/>
          <w:szCs w:val="28"/>
          <w:vertAlign w:val="superscript"/>
        </w:rPr>
        <w:t>st</w:t>
      </w:r>
      <w:r w:rsidRPr="00571A5F">
        <w:rPr>
          <w:rFonts w:asciiTheme="majorBidi" w:hAnsiTheme="majorBidi" w:cstheme="majorBidi"/>
          <w:sz w:val="28"/>
          <w:szCs w:val="28"/>
        </w:rPr>
        <w:t xml:space="preserve"> day of the experiment), ABP was measured by carotid artery cannulation through using Software Lab Chart 8 power lab recorder and </w:t>
      </w:r>
      <w:r w:rsidR="00350CD0" w:rsidRPr="00350CD0">
        <w:rPr>
          <w:rFonts w:asciiTheme="majorBidi" w:hAnsiTheme="majorBidi" w:cstheme="majorBidi"/>
          <w:sz w:val="28"/>
          <w:szCs w:val="28"/>
        </w:rPr>
        <w:t>analyz</w:t>
      </w:r>
      <w:r w:rsidRPr="00350CD0">
        <w:rPr>
          <w:rFonts w:asciiTheme="majorBidi" w:hAnsiTheme="majorBidi" w:cstheme="majorBidi"/>
          <w:sz w:val="28"/>
          <w:szCs w:val="28"/>
        </w:rPr>
        <w:t>er</w:t>
      </w:r>
      <w:r w:rsidRPr="00571A5F">
        <w:rPr>
          <w:rFonts w:asciiTheme="majorBidi" w:hAnsiTheme="majorBidi" w:cstheme="majorBidi"/>
          <w:sz w:val="28"/>
          <w:szCs w:val="28"/>
        </w:rPr>
        <w:t xml:space="preserve"> (AD Instruments, Mountain View, CA, USA).</w:t>
      </w:r>
    </w:p>
    <w:p w:rsidR="00137A40" w:rsidRPr="00571A5F" w:rsidRDefault="00137A40" w:rsidP="00571A5F">
      <w:pPr>
        <w:pStyle w:val="Heading21"/>
        <w:tabs>
          <w:tab w:val="left" w:pos="732"/>
        </w:tabs>
        <w:spacing w:before="161" w:line="360" w:lineRule="auto"/>
        <w:ind w:left="0" w:firstLine="0"/>
        <w:jc w:val="both"/>
        <w:rPr>
          <w:rFonts w:asciiTheme="majorBidi" w:hAnsiTheme="majorBidi" w:cstheme="majorBidi"/>
          <w:sz w:val="28"/>
          <w:szCs w:val="28"/>
          <w:u w:val="single"/>
        </w:rPr>
      </w:pPr>
      <w:r w:rsidRPr="00571A5F">
        <w:rPr>
          <w:rFonts w:asciiTheme="majorBidi" w:hAnsiTheme="majorBidi" w:cstheme="majorBidi"/>
          <w:sz w:val="28"/>
          <w:szCs w:val="28"/>
          <w:u w:val="single"/>
        </w:rPr>
        <w:t>ECG</w:t>
      </w:r>
      <w:r w:rsidRPr="00571A5F">
        <w:rPr>
          <w:rFonts w:asciiTheme="majorBidi" w:hAnsiTheme="majorBidi" w:cstheme="majorBidi"/>
          <w:spacing w:val="-3"/>
          <w:sz w:val="28"/>
          <w:szCs w:val="28"/>
          <w:u w:val="single"/>
        </w:rPr>
        <w:t xml:space="preserve"> </w:t>
      </w:r>
      <w:r w:rsidRPr="00571A5F">
        <w:rPr>
          <w:rFonts w:asciiTheme="majorBidi" w:hAnsiTheme="majorBidi" w:cstheme="majorBidi"/>
          <w:sz w:val="28"/>
          <w:szCs w:val="28"/>
          <w:u w:val="single"/>
        </w:rPr>
        <w:t>study:</w:t>
      </w:r>
    </w:p>
    <w:p w:rsidR="0057047C" w:rsidRPr="00571A5F" w:rsidRDefault="00137A40" w:rsidP="00571A5F">
      <w:pPr>
        <w:tabs>
          <w:tab w:val="left" w:pos="3496"/>
        </w:tabs>
        <w:bidi w:val="0"/>
        <w:spacing w:line="360" w:lineRule="auto"/>
        <w:contextualSpacing/>
        <w:jc w:val="both"/>
        <w:rPr>
          <w:rFonts w:asciiTheme="majorBidi" w:hAnsiTheme="majorBidi" w:cstheme="majorBidi"/>
          <w:b/>
          <w:bCs/>
          <w:sz w:val="28"/>
          <w:szCs w:val="28"/>
        </w:rPr>
      </w:pPr>
      <w:r w:rsidRPr="00571A5F">
        <w:rPr>
          <w:rFonts w:asciiTheme="majorBidi" w:hAnsiTheme="majorBidi" w:cstheme="majorBidi"/>
          <w:sz w:val="28"/>
          <w:szCs w:val="28"/>
        </w:rPr>
        <w:t xml:space="preserve">ECG was measured after ABP measurement for each rat by using Lab Chart 8 power lab recorder and </w:t>
      </w:r>
      <w:r w:rsidR="00350CD0" w:rsidRPr="00350CD0">
        <w:rPr>
          <w:rFonts w:asciiTheme="majorBidi" w:hAnsiTheme="majorBidi" w:cstheme="majorBidi"/>
          <w:sz w:val="28"/>
          <w:szCs w:val="28"/>
        </w:rPr>
        <w:t>analyz</w:t>
      </w:r>
      <w:r w:rsidRPr="00350CD0">
        <w:rPr>
          <w:rFonts w:asciiTheme="majorBidi" w:hAnsiTheme="majorBidi" w:cstheme="majorBidi"/>
          <w:sz w:val="28"/>
          <w:szCs w:val="28"/>
        </w:rPr>
        <w:t>er</w:t>
      </w:r>
      <w:r w:rsidRPr="00B71FB2">
        <w:rPr>
          <w:rFonts w:asciiTheme="majorBidi" w:hAnsiTheme="majorBidi" w:cstheme="majorBidi"/>
          <w:color w:val="FF0000"/>
          <w:sz w:val="28"/>
          <w:szCs w:val="28"/>
        </w:rPr>
        <w:t xml:space="preserve"> </w:t>
      </w:r>
      <w:r w:rsidRPr="00571A5F">
        <w:rPr>
          <w:rFonts w:asciiTheme="majorBidi" w:hAnsiTheme="majorBidi" w:cstheme="majorBidi"/>
          <w:sz w:val="28"/>
          <w:szCs w:val="28"/>
        </w:rPr>
        <w:t>(AD Instruments, Mountain View, CA, USA). Lead II was used in recording ECG, being the most informative one</w:t>
      </w:r>
      <w:r w:rsidR="00571A5F">
        <w:rPr>
          <w:rFonts w:asciiTheme="majorBidi" w:hAnsiTheme="majorBidi" w:cstheme="majorBidi"/>
          <w:sz w:val="28"/>
          <w:szCs w:val="28"/>
        </w:rPr>
        <w:t>.</w:t>
      </w:r>
    </w:p>
    <w:p w:rsidR="00137A40" w:rsidRPr="00571A5F" w:rsidRDefault="00137A40" w:rsidP="00571A5F">
      <w:pPr>
        <w:pStyle w:val="ListParagraph"/>
        <w:widowControl/>
        <w:numPr>
          <w:ilvl w:val="0"/>
          <w:numId w:val="4"/>
        </w:numPr>
        <w:tabs>
          <w:tab w:val="left" w:pos="284"/>
        </w:tabs>
        <w:autoSpaceDE/>
        <w:autoSpaceDN/>
        <w:spacing w:before="120" w:after="120" w:line="360" w:lineRule="auto"/>
        <w:ind w:left="0" w:firstLine="0"/>
        <w:contextualSpacing/>
        <w:jc w:val="both"/>
        <w:rPr>
          <w:rFonts w:asciiTheme="majorBidi" w:hAnsiTheme="majorBidi" w:cstheme="majorBidi"/>
          <w:b/>
          <w:bCs/>
          <w:sz w:val="28"/>
          <w:szCs w:val="28"/>
        </w:rPr>
      </w:pPr>
      <w:r w:rsidRPr="00571A5F">
        <w:rPr>
          <w:rFonts w:asciiTheme="majorBidi" w:hAnsiTheme="majorBidi" w:cstheme="majorBidi"/>
          <w:b/>
          <w:bCs/>
          <w:sz w:val="28"/>
          <w:szCs w:val="28"/>
          <w:u w:val="single"/>
        </w:rPr>
        <w:t>Blood sampling and preparation of serum:</w:t>
      </w:r>
    </w:p>
    <w:p w:rsidR="00137A40" w:rsidRPr="00571A5F" w:rsidRDefault="00137A40" w:rsidP="00571A5F">
      <w:pPr>
        <w:bidi w:val="0"/>
        <w:spacing w:before="120" w:after="120" w:line="360" w:lineRule="auto"/>
        <w:ind w:firstLine="720"/>
        <w:contextualSpacing/>
        <w:jc w:val="both"/>
        <w:rPr>
          <w:rFonts w:asciiTheme="majorBidi" w:hAnsiTheme="majorBidi" w:cstheme="majorBidi"/>
          <w:b/>
          <w:bCs/>
          <w:sz w:val="28"/>
          <w:szCs w:val="28"/>
        </w:rPr>
      </w:pPr>
      <w:r w:rsidRPr="00571A5F">
        <w:rPr>
          <w:rFonts w:asciiTheme="majorBidi" w:hAnsiTheme="majorBidi" w:cstheme="majorBidi"/>
          <w:sz w:val="28"/>
          <w:szCs w:val="28"/>
          <w:lang w:bidi="ar-EG"/>
        </w:rPr>
        <w:t>Serum was then separated from the clotted blood, by centrifugation at 5000 rpm for 10 min,</w:t>
      </w:r>
      <w:r w:rsidRPr="00571A5F">
        <w:rPr>
          <w:rFonts w:asciiTheme="majorBidi" w:hAnsiTheme="majorBidi" w:cstheme="majorBidi"/>
          <w:sz w:val="28"/>
          <w:szCs w:val="28"/>
        </w:rPr>
        <w:t xml:space="preserve"> and stored at -20°C till the assay of</w:t>
      </w:r>
      <w:r w:rsidRPr="00571A5F">
        <w:rPr>
          <w:rStyle w:val="Strong"/>
          <w:rFonts w:asciiTheme="majorBidi" w:hAnsiTheme="majorBidi" w:cstheme="majorBidi"/>
          <w:sz w:val="28"/>
          <w:szCs w:val="28"/>
        </w:rPr>
        <w:t xml:space="preserve"> (</w:t>
      </w:r>
      <w:r w:rsidRPr="00571A5F">
        <w:rPr>
          <w:rFonts w:asciiTheme="majorBidi" w:hAnsiTheme="majorBidi" w:cstheme="majorBidi"/>
          <w:sz w:val="28"/>
          <w:szCs w:val="28"/>
        </w:rPr>
        <w:t>CK-MB, LDH, SOD</w:t>
      </w:r>
      <w:r w:rsidR="0057047C" w:rsidRPr="00571A5F">
        <w:rPr>
          <w:rFonts w:asciiTheme="majorBidi" w:hAnsiTheme="majorBidi" w:cstheme="majorBidi"/>
          <w:sz w:val="28"/>
          <w:szCs w:val="28"/>
        </w:rPr>
        <w:t xml:space="preserve"> </w:t>
      </w:r>
      <w:r w:rsidR="00CC30D7" w:rsidRPr="00571A5F">
        <w:rPr>
          <w:rFonts w:asciiTheme="majorBidi" w:hAnsiTheme="majorBidi" w:cstheme="majorBidi"/>
          <w:sz w:val="28"/>
          <w:szCs w:val="28"/>
        </w:rPr>
        <w:t>and</w:t>
      </w:r>
      <w:r w:rsidRPr="00571A5F">
        <w:rPr>
          <w:rFonts w:asciiTheme="majorBidi" w:hAnsiTheme="majorBidi" w:cstheme="majorBidi"/>
          <w:sz w:val="28"/>
          <w:szCs w:val="28"/>
        </w:rPr>
        <w:t xml:space="preserve"> MDA</w:t>
      </w:r>
      <w:r w:rsidRPr="00571A5F">
        <w:rPr>
          <w:rStyle w:val="Strong"/>
          <w:rFonts w:asciiTheme="majorBidi" w:hAnsiTheme="majorBidi" w:cstheme="majorBidi"/>
          <w:sz w:val="28"/>
          <w:szCs w:val="28"/>
        </w:rPr>
        <w:t xml:space="preserve">) </w:t>
      </w:r>
      <w:r w:rsidRPr="00571A5F">
        <w:rPr>
          <w:rFonts w:asciiTheme="majorBidi" w:hAnsiTheme="majorBidi" w:cstheme="majorBidi"/>
          <w:sz w:val="28"/>
          <w:szCs w:val="28"/>
        </w:rPr>
        <w:t>levels.</w:t>
      </w:r>
    </w:p>
    <w:p w:rsidR="00137A40" w:rsidRPr="00571A5F" w:rsidRDefault="00137A40" w:rsidP="00350CD0">
      <w:pPr>
        <w:pStyle w:val="ListParagraph"/>
        <w:widowControl/>
        <w:numPr>
          <w:ilvl w:val="0"/>
          <w:numId w:val="4"/>
        </w:numPr>
        <w:tabs>
          <w:tab w:val="left" w:pos="284"/>
        </w:tabs>
        <w:autoSpaceDE/>
        <w:autoSpaceDN/>
        <w:spacing w:before="120" w:after="120" w:line="360" w:lineRule="auto"/>
        <w:ind w:left="0" w:firstLine="0"/>
        <w:contextualSpacing/>
        <w:jc w:val="both"/>
        <w:rPr>
          <w:rFonts w:asciiTheme="majorBidi" w:hAnsiTheme="majorBidi" w:cstheme="majorBidi"/>
          <w:sz w:val="28"/>
          <w:szCs w:val="28"/>
          <w:lang w:bidi="ar-EG"/>
        </w:rPr>
      </w:pPr>
      <w:r w:rsidRPr="00571A5F">
        <w:rPr>
          <w:rFonts w:asciiTheme="majorBidi" w:hAnsiTheme="majorBidi" w:cstheme="majorBidi"/>
          <w:b/>
          <w:bCs/>
          <w:sz w:val="28"/>
          <w:szCs w:val="28"/>
          <w:u w:val="single"/>
          <w:lang w:bidi="ar-EG"/>
        </w:rPr>
        <w:t xml:space="preserve">Tissue sampling and preparation </w:t>
      </w:r>
      <w:r w:rsidRPr="00350CD0">
        <w:rPr>
          <w:rFonts w:asciiTheme="majorBidi" w:hAnsiTheme="majorBidi" w:cstheme="majorBidi"/>
          <w:b/>
          <w:bCs/>
          <w:sz w:val="28"/>
          <w:szCs w:val="28"/>
          <w:u w:val="single"/>
          <w:lang w:bidi="ar-EG"/>
        </w:rPr>
        <w:t xml:space="preserve">of </w:t>
      </w:r>
      <w:r w:rsidR="00350CD0" w:rsidRPr="00350CD0">
        <w:rPr>
          <w:rFonts w:asciiTheme="majorBidi" w:hAnsiTheme="majorBidi" w:cstheme="majorBidi"/>
          <w:b/>
          <w:bCs/>
          <w:sz w:val="28"/>
          <w:szCs w:val="28"/>
          <w:u w:val="single"/>
          <w:lang w:bidi="ar-EG"/>
        </w:rPr>
        <w:t>heart</w:t>
      </w:r>
      <w:r w:rsidRPr="00350CD0">
        <w:rPr>
          <w:rFonts w:asciiTheme="majorBidi" w:hAnsiTheme="majorBidi" w:cstheme="majorBidi"/>
          <w:b/>
          <w:bCs/>
          <w:sz w:val="28"/>
          <w:szCs w:val="28"/>
          <w:u w:val="single"/>
          <w:lang w:bidi="ar-EG"/>
        </w:rPr>
        <w:t xml:space="preserve"> </w:t>
      </w:r>
      <w:r w:rsidRPr="00571A5F">
        <w:rPr>
          <w:rFonts w:asciiTheme="majorBidi" w:hAnsiTheme="majorBidi" w:cstheme="majorBidi"/>
          <w:b/>
          <w:bCs/>
          <w:sz w:val="28"/>
          <w:szCs w:val="28"/>
          <w:u w:val="single"/>
          <w:lang w:bidi="ar-EG"/>
        </w:rPr>
        <w:t>homogenate:</w:t>
      </w:r>
    </w:p>
    <w:p w:rsidR="0051520E" w:rsidRPr="00571A5F" w:rsidRDefault="0051520E" w:rsidP="00571A5F">
      <w:pPr>
        <w:pStyle w:val="Default"/>
        <w:spacing w:line="360" w:lineRule="auto"/>
        <w:ind w:firstLine="720"/>
        <w:jc w:val="both"/>
        <w:rPr>
          <w:rFonts w:asciiTheme="majorBidi" w:hAnsiTheme="majorBidi" w:cstheme="majorBidi"/>
          <w:sz w:val="28"/>
          <w:szCs w:val="28"/>
        </w:rPr>
      </w:pPr>
      <w:r w:rsidRPr="00571A5F">
        <w:rPr>
          <w:rFonts w:asciiTheme="majorBidi" w:hAnsiTheme="majorBidi" w:cstheme="majorBidi"/>
          <w:sz w:val="28"/>
          <w:szCs w:val="28"/>
        </w:rPr>
        <w:t>After collection of blood samples,</w:t>
      </w:r>
      <w:r w:rsidRPr="00571A5F">
        <w:rPr>
          <w:rFonts w:asciiTheme="majorBidi" w:hAnsiTheme="majorBidi" w:cstheme="majorBidi"/>
          <w:b/>
          <w:bCs/>
          <w:sz w:val="28"/>
          <w:szCs w:val="28"/>
        </w:rPr>
        <w:t xml:space="preserve"> </w:t>
      </w:r>
      <w:r w:rsidRPr="00571A5F">
        <w:rPr>
          <w:rFonts w:asciiTheme="majorBidi" w:hAnsiTheme="majorBidi" w:cstheme="majorBidi"/>
          <w:sz w:val="28"/>
          <w:szCs w:val="28"/>
        </w:rPr>
        <w:t>light pressure on the thorax help to bring t</w:t>
      </w:r>
      <w:r w:rsidR="00F03364" w:rsidRPr="00571A5F">
        <w:rPr>
          <w:rFonts w:asciiTheme="majorBidi" w:hAnsiTheme="majorBidi" w:cstheme="majorBidi"/>
          <w:sz w:val="28"/>
          <w:szCs w:val="28"/>
        </w:rPr>
        <w:t xml:space="preserve">he heart outside without damage. </w:t>
      </w:r>
      <w:r w:rsidRPr="00571A5F">
        <w:rPr>
          <w:rFonts w:asciiTheme="majorBidi" w:hAnsiTheme="majorBidi" w:cstheme="majorBidi"/>
          <w:sz w:val="28"/>
          <w:szCs w:val="28"/>
        </w:rPr>
        <w:t>The heart was divided longitudinally into two halves. Half was immediately washed with normal saline, kept in liquid nitrogen, and stored at -20° C for NO assays. The other half was kept in formaldehyde to be stained with Hematoxylin and Eosin (H&amp;E).</w:t>
      </w:r>
    </w:p>
    <w:p w:rsidR="00137A40" w:rsidRPr="00571A5F" w:rsidRDefault="00137A40" w:rsidP="00571A5F">
      <w:pPr>
        <w:tabs>
          <w:tab w:val="left" w:pos="284"/>
        </w:tabs>
        <w:bidi w:val="0"/>
        <w:spacing w:before="120" w:after="120" w:line="360" w:lineRule="auto"/>
        <w:contextualSpacing/>
        <w:jc w:val="both"/>
        <w:rPr>
          <w:rFonts w:asciiTheme="majorBidi" w:hAnsiTheme="majorBidi" w:cstheme="majorBidi"/>
          <w:lang w:bidi="ar-EG"/>
        </w:rPr>
      </w:pPr>
      <w:r w:rsidRPr="00571A5F">
        <w:rPr>
          <w:rFonts w:asciiTheme="majorBidi" w:hAnsiTheme="majorBidi" w:cstheme="majorBidi"/>
          <w:b/>
          <w:bCs/>
          <w:sz w:val="28"/>
          <w:szCs w:val="28"/>
          <w:lang w:bidi="ar-EG"/>
        </w:rPr>
        <w:t>2.6. Statistical analysis:</w:t>
      </w:r>
    </w:p>
    <w:p w:rsidR="00137A40" w:rsidRDefault="00137A40" w:rsidP="00571A5F">
      <w:pPr>
        <w:autoSpaceDE w:val="0"/>
        <w:autoSpaceDN w:val="0"/>
        <w:bidi w:val="0"/>
        <w:adjustRightInd w:val="0"/>
        <w:spacing w:before="120" w:after="120" w:line="360" w:lineRule="auto"/>
        <w:ind w:firstLine="720"/>
        <w:contextualSpacing/>
        <w:jc w:val="both"/>
        <w:rPr>
          <w:rFonts w:asciiTheme="majorBidi" w:hAnsiTheme="majorBidi" w:cstheme="majorBidi"/>
          <w:spacing w:val="-4"/>
          <w:sz w:val="28"/>
          <w:szCs w:val="28"/>
          <w:lang w:val="en-GB" w:eastAsia="en-GB"/>
        </w:rPr>
      </w:pPr>
      <w:r w:rsidRPr="00571A5F">
        <w:rPr>
          <w:rFonts w:asciiTheme="majorBidi" w:eastAsia="SimSun" w:hAnsiTheme="majorBidi" w:cstheme="majorBidi"/>
          <w:sz w:val="28"/>
          <w:szCs w:val="28"/>
          <w:lang w:eastAsia="zh-CN"/>
        </w:rPr>
        <w:t>The data were analyzed</w:t>
      </w:r>
      <w:r w:rsidRPr="00571A5F">
        <w:rPr>
          <w:rFonts w:asciiTheme="majorBidi" w:hAnsiTheme="majorBidi" w:cstheme="majorBidi"/>
          <w:spacing w:val="-4"/>
          <w:sz w:val="28"/>
          <w:szCs w:val="28"/>
          <w:lang w:val="en-GB" w:eastAsia="en-GB"/>
        </w:rPr>
        <w:t xml:space="preserve"> using the program: Statistical package for </w:t>
      </w:r>
      <w:r w:rsidR="00D811A1" w:rsidRPr="00571A5F">
        <w:rPr>
          <w:rFonts w:asciiTheme="majorBidi" w:hAnsiTheme="majorBidi" w:cstheme="majorBidi"/>
          <w:spacing w:val="-4"/>
          <w:sz w:val="28"/>
          <w:szCs w:val="28"/>
          <w:lang w:val="en-GB" w:eastAsia="en-GB"/>
        </w:rPr>
        <w:t>social science (SPSS) version 20</w:t>
      </w:r>
      <w:r w:rsidRPr="00571A5F">
        <w:rPr>
          <w:rFonts w:asciiTheme="majorBidi" w:hAnsiTheme="majorBidi" w:cstheme="majorBidi"/>
          <w:spacing w:val="-4"/>
          <w:sz w:val="28"/>
          <w:szCs w:val="28"/>
          <w:lang w:val="en-GB" w:eastAsia="en-GB"/>
        </w:rPr>
        <w:t xml:space="preserve">.0 </w:t>
      </w:r>
      <w:r w:rsidRPr="00571A5F">
        <w:rPr>
          <w:rFonts w:asciiTheme="majorBidi" w:eastAsia="SimSun" w:hAnsiTheme="majorBidi" w:cstheme="majorBidi"/>
          <w:sz w:val="28"/>
          <w:szCs w:val="28"/>
          <w:lang w:eastAsia="zh-CN"/>
        </w:rPr>
        <w:t>(SPSS Inc., Chicago, IL, USA, 2000)</w:t>
      </w:r>
      <w:r w:rsidRPr="00571A5F">
        <w:rPr>
          <w:rFonts w:eastAsia="SimSun"/>
          <w:sz w:val="28"/>
          <w:szCs w:val="28"/>
          <w:lang w:eastAsia="zh-CN"/>
        </w:rPr>
        <w:t xml:space="preserve">. </w:t>
      </w:r>
      <w:r w:rsidRPr="00571A5F">
        <w:rPr>
          <w:rFonts w:asciiTheme="majorBidi" w:hAnsiTheme="majorBidi" w:cstheme="majorBidi"/>
          <w:spacing w:val="-4"/>
          <w:sz w:val="28"/>
          <w:szCs w:val="28"/>
          <w:lang w:val="en-GB" w:eastAsia="en-GB"/>
        </w:rPr>
        <w:t>In the statistical comparison between the different groups, the significance of difference was tested using one-way analysis of variance (ANOVA) followed by Least Significant Difference (LSD) test for comparison between every two groups. The p-values &lt; 0.05 were considered statistically significant.</w:t>
      </w:r>
      <w:r w:rsidRPr="00571A5F">
        <w:rPr>
          <w:rFonts w:asciiTheme="majorBidi" w:eastAsia="SimSun" w:hAnsiTheme="majorBidi" w:cstheme="majorBidi"/>
          <w:b/>
          <w:bCs/>
          <w:sz w:val="28"/>
          <w:szCs w:val="28"/>
          <w:lang w:eastAsia="zh-CN"/>
        </w:rPr>
        <w:t xml:space="preserve"> </w:t>
      </w:r>
    </w:p>
    <w:p w:rsidR="007F63AD" w:rsidRDefault="007F63AD" w:rsidP="007F63AD">
      <w:pPr>
        <w:autoSpaceDE w:val="0"/>
        <w:autoSpaceDN w:val="0"/>
        <w:bidi w:val="0"/>
        <w:adjustRightInd w:val="0"/>
        <w:spacing w:before="120" w:after="120" w:line="360" w:lineRule="auto"/>
        <w:ind w:firstLine="720"/>
        <w:contextualSpacing/>
        <w:jc w:val="both"/>
        <w:rPr>
          <w:rFonts w:asciiTheme="majorBidi" w:hAnsiTheme="majorBidi" w:cstheme="majorBidi"/>
          <w:spacing w:val="-4"/>
          <w:sz w:val="28"/>
          <w:szCs w:val="28"/>
          <w:lang w:val="en-GB" w:eastAsia="en-GB"/>
        </w:rPr>
      </w:pPr>
    </w:p>
    <w:p w:rsidR="007F63AD" w:rsidRPr="00571A5F" w:rsidRDefault="007F63AD" w:rsidP="007F63AD">
      <w:pPr>
        <w:autoSpaceDE w:val="0"/>
        <w:autoSpaceDN w:val="0"/>
        <w:bidi w:val="0"/>
        <w:adjustRightInd w:val="0"/>
        <w:spacing w:before="120" w:after="120" w:line="360" w:lineRule="auto"/>
        <w:ind w:firstLine="720"/>
        <w:contextualSpacing/>
        <w:jc w:val="both"/>
        <w:rPr>
          <w:rFonts w:asciiTheme="majorBidi" w:hAnsiTheme="majorBidi" w:cstheme="majorBidi"/>
          <w:spacing w:val="-4"/>
          <w:sz w:val="28"/>
          <w:szCs w:val="28"/>
          <w:lang w:val="en-GB" w:eastAsia="en-GB"/>
        </w:rPr>
      </w:pPr>
    </w:p>
    <w:p w:rsidR="00137A40" w:rsidRPr="00571A5F" w:rsidRDefault="00137A40" w:rsidP="00571A5F">
      <w:pPr>
        <w:bidi w:val="0"/>
        <w:spacing w:line="360" w:lineRule="auto"/>
        <w:contextualSpacing/>
        <w:jc w:val="both"/>
        <w:rPr>
          <w:rFonts w:asciiTheme="majorBidi" w:hAnsiTheme="majorBidi" w:cstheme="majorBidi"/>
          <w:sz w:val="24"/>
          <w:szCs w:val="24"/>
          <w:lang w:bidi="ar-EG"/>
        </w:rPr>
      </w:pPr>
      <w:r w:rsidRPr="00571A5F">
        <w:rPr>
          <w:rFonts w:asciiTheme="majorBidi" w:hAnsiTheme="majorBidi" w:cstheme="majorBidi"/>
          <w:b/>
          <w:bCs/>
          <w:sz w:val="32"/>
          <w:szCs w:val="32"/>
          <w:lang w:bidi="ar-EG"/>
        </w:rPr>
        <w:t xml:space="preserve">3. </w:t>
      </w:r>
      <w:r w:rsidRPr="00571A5F">
        <w:rPr>
          <w:rFonts w:asciiTheme="majorBidi" w:hAnsiTheme="majorBidi" w:cstheme="majorBidi"/>
          <w:b/>
          <w:bCs/>
          <w:sz w:val="28"/>
          <w:szCs w:val="28"/>
          <w:lang w:bidi="ar-EG"/>
        </w:rPr>
        <w:t>RESULTS</w:t>
      </w:r>
      <w:r w:rsidRPr="00571A5F">
        <w:rPr>
          <w:rFonts w:asciiTheme="majorBidi" w:hAnsiTheme="majorBidi" w:cstheme="majorBidi"/>
          <w:b/>
          <w:bCs/>
          <w:sz w:val="32"/>
          <w:szCs w:val="32"/>
          <w:lang w:bidi="ar-EG"/>
        </w:rPr>
        <w:t>:</w:t>
      </w:r>
    </w:p>
    <w:p w:rsidR="00BE1C07" w:rsidRPr="00571A5F" w:rsidRDefault="00BE1C07" w:rsidP="00571A5F">
      <w:pPr>
        <w:bidi w:val="0"/>
        <w:spacing w:line="360" w:lineRule="auto"/>
        <w:contextualSpacing/>
        <w:jc w:val="both"/>
        <w:rPr>
          <w:rFonts w:asciiTheme="majorBidi" w:hAnsiTheme="majorBidi" w:cstheme="majorBidi"/>
          <w:lang w:bidi="ar-EG"/>
        </w:rPr>
      </w:pPr>
      <w:r w:rsidRPr="00571A5F">
        <w:rPr>
          <w:rFonts w:asciiTheme="majorBidi" w:hAnsiTheme="majorBidi" w:cstheme="majorBidi"/>
          <w:b/>
          <w:bCs/>
          <w:sz w:val="28"/>
          <w:szCs w:val="28"/>
          <w:lang w:bidi="ar-EG"/>
        </w:rPr>
        <w:t xml:space="preserve">3.1. </w:t>
      </w:r>
      <w:r w:rsidRPr="00571A5F">
        <w:rPr>
          <w:rFonts w:asciiTheme="majorBidi" w:hAnsiTheme="majorBidi" w:cstheme="majorBidi"/>
          <w:b/>
          <w:bCs/>
          <w:sz w:val="28"/>
          <w:szCs w:val="28"/>
        </w:rPr>
        <w:t xml:space="preserve">Effect of </w:t>
      </w:r>
      <w:r w:rsidR="00622B44" w:rsidRPr="00571A5F">
        <w:rPr>
          <w:rFonts w:asciiTheme="majorBidi" w:hAnsiTheme="majorBidi" w:cstheme="majorBidi"/>
          <w:b/>
          <w:bCs/>
          <w:sz w:val="28"/>
          <w:szCs w:val="28"/>
        </w:rPr>
        <w:t>DOX</w:t>
      </w:r>
      <w:r w:rsidR="005727C4" w:rsidRPr="00571A5F">
        <w:rPr>
          <w:rFonts w:asciiTheme="majorBidi" w:hAnsiTheme="majorBidi" w:cstheme="majorBidi"/>
          <w:b/>
          <w:bCs/>
          <w:sz w:val="28"/>
          <w:szCs w:val="28"/>
        </w:rPr>
        <w:t xml:space="preserve"> on ECG</w:t>
      </w:r>
      <w:r w:rsidRPr="00571A5F">
        <w:rPr>
          <w:rFonts w:asciiTheme="majorBidi" w:hAnsiTheme="majorBidi" w:cstheme="majorBidi"/>
          <w:b/>
          <w:bCs/>
          <w:sz w:val="28"/>
          <w:szCs w:val="28"/>
        </w:rPr>
        <w:t xml:space="preserve"> and serum </w:t>
      </w:r>
      <w:r w:rsidR="005727C4" w:rsidRPr="00571A5F">
        <w:rPr>
          <w:rFonts w:asciiTheme="majorBidi" w:hAnsiTheme="majorBidi" w:cstheme="majorBidi"/>
          <w:b/>
          <w:bCs/>
          <w:sz w:val="28"/>
          <w:szCs w:val="28"/>
        </w:rPr>
        <w:t>levels of (CK-MB and</w:t>
      </w:r>
      <w:r w:rsidRPr="00571A5F">
        <w:rPr>
          <w:rFonts w:asciiTheme="majorBidi" w:hAnsiTheme="majorBidi" w:cstheme="majorBidi"/>
          <w:b/>
          <w:bCs/>
          <w:sz w:val="28"/>
          <w:szCs w:val="28"/>
        </w:rPr>
        <w:t xml:space="preserve"> </w:t>
      </w:r>
      <w:r w:rsidR="005727C4" w:rsidRPr="00571A5F">
        <w:rPr>
          <w:rFonts w:asciiTheme="majorBidi" w:hAnsiTheme="majorBidi" w:cstheme="majorBidi"/>
          <w:b/>
          <w:bCs/>
          <w:sz w:val="28"/>
          <w:szCs w:val="28"/>
        </w:rPr>
        <w:t>LDH</w:t>
      </w:r>
      <w:r w:rsidRPr="00571A5F">
        <w:rPr>
          <w:rFonts w:asciiTheme="majorBidi" w:hAnsiTheme="majorBidi" w:cstheme="majorBidi"/>
          <w:b/>
          <w:bCs/>
          <w:sz w:val="28"/>
          <w:szCs w:val="28"/>
        </w:rPr>
        <w:t>):</w:t>
      </w:r>
      <w:r w:rsidRPr="00571A5F">
        <w:rPr>
          <w:rFonts w:asciiTheme="majorBidi" w:hAnsiTheme="majorBidi" w:cstheme="majorBidi"/>
          <w:b/>
          <w:bCs/>
          <w:sz w:val="36"/>
          <w:szCs w:val="36"/>
          <w:lang w:bidi="ar-EG"/>
        </w:rPr>
        <w:t xml:space="preserve"> </w:t>
      </w:r>
      <w:r w:rsidRPr="00571A5F">
        <w:rPr>
          <w:rFonts w:asciiTheme="majorBidi" w:hAnsiTheme="majorBidi" w:cstheme="majorBidi"/>
          <w:b/>
          <w:bCs/>
          <w:sz w:val="28"/>
          <w:szCs w:val="28"/>
          <w:lang w:bidi="ar-EG"/>
        </w:rPr>
        <w:t>(Table 1):</w:t>
      </w:r>
    </w:p>
    <w:p w:rsidR="005727C4" w:rsidRPr="00571A5F" w:rsidRDefault="00CC30D7" w:rsidP="00571A5F">
      <w:pPr>
        <w:bidi w:val="0"/>
        <w:spacing w:before="222" w:line="360" w:lineRule="auto"/>
        <w:ind w:firstLine="460"/>
        <w:jc w:val="both"/>
        <w:rPr>
          <w:rFonts w:ascii="Times New Roman" w:hAnsi="Times New Roman" w:cs="Times New Roman"/>
          <w:sz w:val="28"/>
          <w:szCs w:val="28"/>
        </w:rPr>
      </w:pPr>
      <w:r w:rsidRPr="00571A5F">
        <w:rPr>
          <w:rFonts w:ascii="Times New Roman" w:hAnsi="Times New Roman" w:cs="Times New Roman"/>
          <w:sz w:val="28"/>
          <w:szCs w:val="28"/>
        </w:rPr>
        <w:t>W</w:t>
      </w:r>
      <w:r w:rsidR="005727C4" w:rsidRPr="00571A5F">
        <w:rPr>
          <w:rFonts w:ascii="Times New Roman" w:hAnsi="Times New Roman" w:cs="Times New Roman"/>
          <w:sz w:val="28"/>
          <w:szCs w:val="28"/>
        </w:rPr>
        <w:t>hen rats were injected with DOX in DOX group at a dose</w:t>
      </w:r>
      <w:r w:rsidR="005727C4" w:rsidRPr="00571A5F">
        <w:rPr>
          <w:rFonts w:ascii="Times New Roman" w:hAnsi="Times New Roman" w:cs="Times New Roman"/>
          <w:spacing w:val="-16"/>
          <w:sz w:val="28"/>
          <w:szCs w:val="28"/>
        </w:rPr>
        <w:t xml:space="preserve"> </w:t>
      </w:r>
      <w:r w:rsidR="005727C4" w:rsidRPr="00571A5F">
        <w:rPr>
          <w:rFonts w:ascii="Times New Roman" w:hAnsi="Times New Roman" w:cs="Times New Roman"/>
          <w:sz w:val="28"/>
          <w:szCs w:val="28"/>
        </w:rPr>
        <w:t>15mg/kg</w:t>
      </w:r>
      <w:r w:rsidR="005727C4" w:rsidRPr="00571A5F">
        <w:rPr>
          <w:rFonts w:ascii="Times New Roman" w:hAnsi="Times New Roman" w:cs="Times New Roman"/>
          <w:spacing w:val="-15"/>
          <w:sz w:val="28"/>
          <w:szCs w:val="28"/>
        </w:rPr>
        <w:t xml:space="preserve"> </w:t>
      </w:r>
      <w:r w:rsidR="005727C4" w:rsidRPr="00571A5F">
        <w:rPr>
          <w:rFonts w:ascii="Times New Roman" w:hAnsi="Times New Roman" w:cs="Times New Roman"/>
          <w:sz w:val="28"/>
          <w:szCs w:val="28"/>
        </w:rPr>
        <w:t>i.p for 3 weeks,</w:t>
      </w:r>
      <w:r w:rsidR="005727C4" w:rsidRPr="00571A5F">
        <w:rPr>
          <w:rFonts w:ascii="Times New Roman" w:hAnsi="Times New Roman" w:cs="Times New Roman"/>
          <w:spacing w:val="-14"/>
          <w:sz w:val="28"/>
          <w:szCs w:val="28"/>
        </w:rPr>
        <w:t xml:space="preserve"> </w:t>
      </w:r>
      <w:r w:rsidRPr="00571A5F">
        <w:rPr>
          <w:rFonts w:ascii="Times New Roman" w:hAnsi="Times New Roman" w:cs="Times New Roman"/>
          <w:sz w:val="28"/>
          <w:szCs w:val="28"/>
        </w:rPr>
        <w:t>there were</w:t>
      </w:r>
      <w:r w:rsidR="005727C4" w:rsidRPr="00571A5F">
        <w:rPr>
          <w:rFonts w:ascii="Times New Roman" w:hAnsi="Times New Roman" w:cs="Times New Roman"/>
          <w:spacing w:val="-14"/>
          <w:sz w:val="28"/>
          <w:szCs w:val="28"/>
        </w:rPr>
        <w:t xml:space="preserve"> </w:t>
      </w:r>
      <w:r w:rsidR="005727C4" w:rsidRPr="00571A5F">
        <w:rPr>
          <w:rFonts w:ascii="Times New Roman" w:hAnsi="Times New Roman" w:cs="Times New Roman"/>
          <w:sz w:val="28"/>
          <w:szCs w:val="28"/>
        </w:rPr>
        <w:t>significant increases (P &lt; 0.05) in the ST segment amplitude (0.17 ±0.04) when compared with its corresponding in the control group (0 ± 0.00) and STG group (0 ± 0.00) while there was non- significant change (P &gt; 0.05) in the ST segment amplitude (0.17 ±0.04) when compared with its corresponding in the STG + L-NAME group (0.16 ± 0.06 ).</w:t>
      </w:r>
    </w:p>
    <w:p w:rsidR="005727C4" w:rsidRPr="00571A5F" w:rsidRDefault="005727C4" w:rsidP="00350CD0">
      <w:pPr>
        <w:bidi w:val="0"/>
        <w:spacing w:before="222" w:line="360" w:lineRule="auto"/>
        <w:ind w:firstLine="460"/>
        <w:jc w:val="both"/>
        <w:rPr>
          <w:rFonts w:ascii="Times New Roman" w:hAnsi="Times New Roman" w:cs="Times New Roman"/>
          <w:sz w:val="28"/>
          <w:szCs w:val="28"/>
        </w:rPr>
      </w:pPr>
      <w:r w:rsidRPr="00571A5F">
        <w:rPr>
          <w:rFonts w:ascii="Times New Roman" w:hAnsi="Times New Roman" w:cs="Times New Roman"/>
          <w:sz w:val="28"/>
          <w:szCs w:val="28"/>
        </w:rPr>
        <w:t>T</w:t>
      </w:r>
      <w:r w:rsidR="00350CD0">
        <w:rPr>
          <w:rFonts w:ascii="Times New Roman" w:hAnsi="Times New Roman" w:cs="Times New Roman"/>
          <w:sz w:val="28"/>
          <w:szCs w:val="28"/>
        </w:rPr>
        <w:t>here were significant increases</w:t>
      </w:r>
      <w:r w:rsidRPr="00B71FB2">
        <w:rPr>
          <w:rFonts w:ascii="Times New Roman" w:hAnsi="Times New Roman" w:cs="Times New Roman"/>
          <w:color w:val="FF0000"/>
          <w:sz w:val="28"/>
          <w:szCs w:val="28"/>
        </w:rPr>
        <w:t xml:space="preserve"> </w:t>
      </w:r>
      <w:r w:rsidRPr="00571A5F">
        <w:rPr>
          <w:rFonts w:ascii="Times New Roman" w:hAnsi="Times New Roman" w:cs="Times New Roman"/>
          <w:sz w:val="28"/>
          <w:szCs w:val="28"/>
        </w:rPr>
        <w:t>in the serum CK-MB level (602.83 ± 37.15) in the DOX group when compared with its corresponding in the control group (314.67 ± 35.16) and STG group (317 ± 31.16 ) while there was non-significant change in serum CK-MB level (602.83 ± 37.15) when compared with its corresponding in the STG + L-NAME group (610.33 ± 32.46).</w:t>
      </w:r>
    </w:p>
    <w:p w:rsidR="005727C4" w:rsidRPr="00571A5F" w:rsidRDefault="005727C4" w:rsidP="00350CD0">
      <w:pPr>
        <w:bidi w:val="0"/>
        <w:spacing w:before="222" w:line="360" w:lineRule="auto"/>
        <w:ind w:firstLine="460"/>
        <w:jc w:val="both"/>
        <w:rPr>
          <w:rFonts w:ascii="Times New Roman" w:hAnsi="Times New Roman" w:cs="Times New Roman"/>
          <w:sz w:val="28"/>
          <w:szCs w:val="28"/>
        </w:rPr>
      </w:pPr>
      <w:r w:rsidRPr="00571A5F">
        <w:rPr>
          <w:rFonts w:ascii="Times New Roman" w:hAnsi="Times New Roman" w:cs="Times New Roman"/>
          <w:sz w:val="28"/>
          <w:szCs w:val="28"/>
        </w:rPr>
        <w:t>Moreover, t</w:t>
      </w:r>
      <w:r w:rsidR="00350CD0">
        <w:rPr>
          <w:rFonts w:ascii="Times New Roman" w:hAnsi="Times New Roman" w:cs="Times New Roman"/>
          <w:sz w:val="28"/>
          <w:szCs w:val="28"/>
        </w:rPr>
        <w:t>here were significant increases</w:t>
      </w:r>
      <w:r w:rsidRPr="00B71FB2">
        <w:rPr>
          <w:rFonts w:ascii="Times New Roman" w:hAnsi="Times New Roman" w:cs="Times New Roman"/>
          <w:color w:val="FF0000"/>
          <w:sz w:val="28"/>
          <w:szCs w:val="28"/>
        </w:rPr>
        <w:t xml:space="preserve"> </w:t>
      </w:r>
      <w:r w:rsidRPr="00571A5F">
        <w:rPr>
          <w:rFonts w:ascii="Times New Roman" w:hAnsi="Times New Roman" w:cs="Times New Roman"/>
          <w:sz w:val="28"/>
          <w:szCs w:val="28"/>
        </w:rPr>
        <w:t xml:space="preserve">in the serum LDH level (318 ± 26.75) in the DOX group when compared with its corresponding in the control group (197 ± 15.28) and STG group </w:t>
      </w:r>
      <w:bookmarkStart w:id="4" w:name="OLE_LINK14"/>
      <w:r w:rsidRPr="00571A5F">
        <w:rPr>
          <w:rFonts w:ascii="Times New Roman" w:hAnsi="Times New Roman" w:cs="Times New Roman"/>
          <w:sz w:val="28"/>
          <w:szCs w:val="28"/>
        </w:rPr>
        <w:t xml:space="preserve">(201.17 ± 18.50) </w:t>
      </w:r>
      <w:bookmarkEnd w:id="4"/>
      <w:r w:rsidRPr="00571A5F">
        <w:rPr>
          <w:rFonts w:ascii="Times New Roman" w:hAnsi="Times New Roman" w:cs="Times New Roman"/>
          <w:sz w:val="28"/>
          <w:szCs w:val="28"/>
        </w:rPr>
        <w:t>while there was non-significant change in serum LDH level (318 ± 26.75) when compared with its corresponding in the STG + L-NAME group (332.17 ± 37.51).</w:t>
      </w:r>
    </w:p>
    <w:p w:rsidR="00BE1C07" w:rsidRPr="00571A5F" w:rsidRDefault="00BE1C07" w:rsidP="00571A5F">
      <w:pPr>
        <w:bidi w:val="0"/>
        <w:spacing w:line="360" w:lineRule="auto"/>
        <w:contextualSpacing/>
        <w:jc w:val="both"/>
        <w:rPr>
          <w:rFonts w:asciiTheme="majorBidi" w:hAnsiTheme="majorBidi" w:cstheme="majorBidi"/>
          <w:b/>
          <w:bCs/>
          <w:sz w:val="28"/>
          <w:szCs w:val="28"/>
          <w:lang w:bidi="ar-EG"/>
        </w:rPr>
      </w:pPr>
      <w:r w:rsidRPr="00571A5F">
        <w:rPr>
          <w:rFonts w:asciiTheme="majorBidi" w:hAnsiTheme="majorBidi" w:cstheme="majorBidi"/>
          <w:b/>
          <w:bCs/>
          <w:sz w:val="28"/>
          <w:szCs w:val="28"/>
          <w:lang w:bidi="ar-EG"/>
        </w:rPr>
        <w:t xml:space="preserve">3.2. </w:t>
      </w:r>
      <w:r w:rsidR="005727C4" w:rsidRPr="00571A5F">
        <w:rPr>
          <w:rFonts w:asciiTheme="majorBidi" w:hAnsiTheme="majorBidi" w:cstheme="majorBidi"/>
          <w:b/>
          <w:bCs/>
          <w:sz w:val="28"/>
          <w:szCs w:val="28"/>
        </w:rPr>
        <w:t>Effect of DOX</w:t>
      </w:r>
      <w:r w:rsidRPr="00571A5F">
        <w:rPr>
          <w:rFonts w:asciiTheme="majorBidi" w:hAnsiTheme="majorBidi" w:cstheme="majorBidi"/>
          <w:b/>
          <w:bCs/>
          <w:sz w:val="28"/>
          <w:szCs w:val="28"/>
        </w:rPr>
        <w:t xml:space="preserve"> on </w:t>
      </w:r>
      <w:r w:rsidR="005727C4" w:rsidRPr="00571A5F">
        <w:rPr>
          <w:rFonts w:asciiTheme="majorBidi" w:hAnsiTheme="majorBidi" w:cstheme="majorBidi"/>
          <w:b/>
          <w:bCs/>
          <w:sz w:val="28"/>
          <w:szCs w:val="28"/>
        </w:rPr>
        <w:t>serum</w:t>
      </w:r>
      <w:r w:rsidRPr="00571A5F">
        <w:rPr>
          <w:rFonts w:asciiTheme="majorBidi" w:hAnsiTheme="majorBidi" w:cstheme="majorBidi"/>
          <w:b/>
          <w:bCs/>
          <w:sz w:val="28"/>
          <w:szCs w:val="28"/>
        </w:rPr>
        <w:t xml:space="preserve"> level of </w:t>
      </w:r>
      <w:r w:rsidR="005727C4" w:rsidRPr="00571A5F">
        <w:rPr>
          <w:rFonts w:asciiTheme="majorBidi" w:hAnsiTheme="majorBidi" w:cstheme="majorBidi"/>
          <w:b/>
          <w:bCs/>
          <w:sz w:val="28"/>
          <w:szCs w:val="28"/>
        </w:rPr>
        <w:t>SOD,</w:t>
      </w:r>
      <w:r w:rsidRPr="00571A5F">
        <w:rPr>
          <w:rFonts w:asciiTheme="majorBidi" w:hAnsiTheme="majorBidi" w:cstheme="majorBidi"/>
          <w:b/>
          <w:bCs/>
          <w:sz w:val="28"/>
          <w:szCs w:val="28"/>
        </w:rPr>
        <w:t xml:space="preserve"> MDA</w:t>
      </w:r>
      <w:r w:rsidR="005727C4" w:rsidRPr="00571A5F">
        <w:rPr>
          <w:rFonts w:asciiTheme="majorBidi" w:hAnsiTheme="majorBidi" w:cstheme="majorBidi"/>
          <w:b/>
          <w:bCs/>
          <w:sz w:val="28"/>
          <w:szCs w:val="28"/>
        </w:rPr>
        <w:t xml:space="preserve"> </w:t>
      </w:r>
      <w:r w:rsidRPr="00571A5F">
        <w:rPr>
          <w:rFonts w:asciiTheme="majorBidi" w:hAnsiTheme="majorBidi" w:cstheme="majorBidi"/>
          <w:b/>
          <w:bCs/>
          <w:sz w:val="28"/>
          <w:szCs w:val="28"/>
          <w:lang w:bidi="ar-EG"/>
        </w:rPr>
        <w:t>and</w:t>
      </w:r>
      <w:r w:rsidR="005727C4" w:rsidRPr="00571A5F">
        <w:rPr>
          <w:rFonts w:asciiTheme="majorBidi" w:hAnsiTheme="majorBidi" w:cstheme="majorBidi"/>
          <w:b/>
          <w:bCs/>
          <w:sz w:val="28"/>
          <w:szCs w:val="28"/>
          <w:lang w:bidi="ar-EG"/>
        </w:rPr>
        <w:t xml:space="preserve"> </w:t>
      </w:r>
      <w:r w:rsidR="005727C4" w:rsidRPr="00571A5F">
        <w:rPr>
          <w:rFonts w:asciiTheme="majorBidi" w:hAnsiTheme="majorBidi" w:cstheme="majorBidi"/>
          <w:b/>
          <w:bCs/>
          <w:sz w:val="28"/>
          <w:szCs w:val="28"/>
        </w:rPr>
        <w:t xml:space="preserve">cardiac level of NO </w:t>
      </w:r>
      <w:r w:rsidRPr="00571A5F">
        <w:rPr>
          <w:rFonts w:asciiTheme="majorBidi" w:hAnsiTheme="majorBidi" w:cstheme="majorBidi"/>
          <w:b/>
          <w:bCs/>
          <w:sz w:val="28"/>
          <w:szCs w:val="28"/>
          <w:lang w:bidi="ar-EG"/>
        </w:rPr>
        <w:t>(Table 1):</w:t>
      </w:r>
    </w:p>
    <w:p w:rsidR="005727C4" w:rsidRPr="00571A5F" w:rsidRDefault="005727C4" w:rsidP="00350CD0">
      <w:pPr>
        <w:bidi w:val="0"/>
        <w:spacing w:before="222" w:line="360" w:lineRule="auto"/>
        <w:ind w:firstLine="460"/>
        <w:jc w:val="both"/>
        <w:rPr>
          <w:rFonts w:ascii="Times New Roman" w:hAnsi="Times New Roman" w:cs="Times New Roman"/>
          <w:sz w:val="28"/>
          <w:szCs w:val="28"/>
        </w:rPr>
      </w:pPr>
      <w:r w:rsidRPr="00571A5F">
        <w:rPr>
          <w:rFonts w:ascii="Times New Roman" w:hAnsi="Times New Roman" w:cs="Times New Roman"/>
          <w:sz w:val="28"/>
          <w:szCs w:val="28"/>
        </w:rPr>
        <w:t>T</w:t>
      </w:r>
      <w:r w:rsidR="00350CD0">
        <w:rPr>
          <w:rFonts w:ascii="Times New Roman" w:hAnsi="Times New Roman" w:cs="Times New Roman"/>
          <w:sz w:val="28"/>
          <w:szCs w:val="28"/>
        </w:rPr>
        <w:t>here were significant decreases</w:t>
      </w:r>
      <w:r w:rsidRPr="00B71FB2">
        <w:rPr>
          <w:rFonts w:ascii="Times New Roman" w:hAnsi="Times New Roman" w:cs="Times New Roman"/>
          <w:color w:val="FF0000"/>
          <w:sz w:val="28"/>
          <w:szCs w:val="28"/>
        </w:rPr>
        <w:t xml:space="preserve"> </w:t>
      </w:r>
      <w:r w:rsidRPr="00571A5F">
        <w:rPr>
          <w:rFonts w:ascii="Times New Roman" w:hAnsi="Times New Roman" w:cs="Times New Roman"/>
          <w:sz w:val="28"/>
          <w:szCs w:val="28"/>
        </w:rPr>
        <w:t xml:space="preserve">in the serum SOD level (6.32 ± 1.47) in the DOX group when compared with its corresponding in the control group </w:t>
      </w:r>
      <w:bookmarkStart w:id="5" w:name="OLE_LINK36"/>
      <w:bookmarkStart w:id="6" w:name="OLE_LINK37"/>
      <w:r w:rsidRPr="00571A5F">
        <w:rPr>
          <w:rFonts w:ascii="Times New Roman" w:hAnsi="Times New Roman" w:cs="Times New Roman"/>
          <w:sz w:val="28"/>
          <w:szCs w:val="28"/>
        </w:rPr>
        <w:t xml:space="preserve">(14.13 ± 2.97) </w:t>
      </w:r>
      <w:bookmarkEnd w:id="5"/>
      <w:bookmarkEnd w:id="6"/>
      <w:r w:rsidRPr="00571A5F">
        <w:rPr>
          <w:rFonts w:ascii="Times New Roman" w:hAnsi="Times New Roman" w:cs="Times New Roman"/>
          <w:sz w:val="28"/>
          <w:szCs w:val="28"/>
        </w:rPr>
        <w:t>and STG group (19.70 ± 1.84) while there was non-significant change in serum SOD level (6.32 ± 1.47) when compared with its corresponding in the STG + L-NAME group (5.57 ± 1.29).</w:t>
      </w:r>
    </w:p>
    <w:p w:rsidR="005727C4" w:rsidRPr="00571A5F" w:rsidRDefault="005727C4" w:rsidP="00571A5F">
      <w:pPr>
        <w:bidi w:val="0"/>
        <w:spacing w:before="222" w:line="360" w:lineRule="auto"/>
        <w:ind w:firstLine="460"/>
        <w:jc w:val="both"/>
        <w:rPr>
          <w:rFonts w:ascii="Times New Roman" w:hAnsi="Times New Roman" w:cs="Times New Roman"/>
          <w:sz w:val="28"/>
          <w:szCs w:val="28"/>
        </w:rPr>
      </w:pPr>
      <w:r w:rsidRPr="00571A5F">
        <w:rPr>
          <w:rFonts w:ascii="Times New Roman" w:hAnsi="Times New Roman" w:cs="Times New Roman"/>
          <w:sz w:val="28"/>
          <w:szCs w:val="28"/>
        </w:rPr>
        <w:t>Moreover, t</w:t>
      </w:r>
      <w:r w:rsidR="00350CD0">
        <w:rPr>
          <w:rFonts w:ascii="Times New Roman" w:hAnsi="Times New Roman" w:cs="Times New Roman"/>
          <w:sz w:val="28"/>
          <w:szCs w:val="28"/>
        </w:rPr>
        <w:t>here were significant increases</w:t>
      </w:r>
      <w:r w:rsidRPr="00B71FB2">
        <w:rPr>
          <w:rFonts w:ascii="Times New Roman" w:hAnsi="Times New Roman" w:cs="Times New Roman"/>
          <w:color w:val="FF0000"/>
          <w:sz w:val="28"/>
          <w:szCs w:val="28"/>
        </w:rPr>
        <w:t xml:space="preserve"> </w:t>
      </w:r>
      <w:r w:rsidRPr="00571A5F">
        <w:rPr>
          <w:rFonts w:ascii="Times New Roman" w:hAnsi="Times New Roman" w:cs="Times New Roman"/>
          <w:sz w:val="28"/>
          <w:szCs w:val="28"/>
        </w:rPr>
        <w:t xml:space="preserve">in the serum MDA level (3.21 ± 0.60) in the DOX group when compared with its corresponding in the control group </w:t>
      </w:r>
      <w:bookmarkStart w:id="7" w:name="OLE_LINK40"/>
      <w:r w:rsidRPr="00571A5F">
        <w:rPr>
          <w:rFonts w:ascii="Times New Roman" w:hAnsi="Times New Roman" w:cs="Times New Roman"/>
          <w:sz w:val="28"/>
          <w:szCs w:val="28"/>
        </w:rPr>
        <w:t xml:space="preserve">(1.90 ± 0.40) </w:t>
      </w:r>
      <w:bookmarkEnd w:id="7"/>
      <w:r w:rsidRPr="00571A5F">
        <w:rPr>
          <w:rFonts w:ascii="Times New Roman" w:hAnsi="Times New Roman" w:cs="Times New Roman"/>
          <w:sz w:val="28"/>
          <w:szCs w:val="28"/>
        </w:rPr>
        <w:t>and STG group (1.26 ± 0.24) while t</w:t>
      </w:r>
      <w:r w:rsidR="00350CD0">
        <w:rPr>
          <w:rFonts w:ascii="Times New Roman" w:hAnsi="Times New Roman" w:cs="Times New Roman"/>
          <w:sz w:val="28"/>
          <w:szCs w:val="28"/>
        </w:rPr>
        <w:t>here was non-significant change</w:t>
      </w:r>
      <w:r w:rsidRPr="00B71FB2">
        <w:rPr>
          <w:rFonts w:ascii="Times New Roman" w:hAnsi="Times New Roman" w:cs="Times New Roman"/>
          <w:color w:val="FF0000"/>
          <w:sz w:val="28"/>
          <w:szCs w:val="28"/>
        </w:rPr>
        <w:t xml:space="preserve"> </w:t>
      </w:r>
      <w:r w:rsidRPr="00571A5F">
        <w:rPr>
          <w:rFonts w:ascii="Times New Roman" w:hAnsi="Times New Roman" w:cs="Times New Roman"/>
          <w:sz w:val="28"/>
          <w:szCs w:val="28"/>
        </w:rPr>
        <w:t>in serum MDA level (3.21 ± 0.60)  when compared with its corresponding in the STG + L-NAME group (2.73 ± 0.32).</w:t>
      </w:r>
    </w:p>
    <w:p w:rsidR="005727C4" w:rsidRDefault="00350CD0" w:rsidP="00350CD0">
      <w:pPr>
        <w:bidi w:val="0"/>
        <w:spacing w:before="222" w:line="360" w:lineRule="auto"/>
        <w:ind w:firstLine="460"/>
        <w:jc w:val="both"/>
        <w:rPr>
          <w:rFonts w:ascii="Times New Roman" w:hAnsi="Times New Roman" w:cs="Times New Roman"/>
          <w:sz w:val="28"/>
          <w:szCs w:val="28"/>
        </w:rPr>
      </w:pPr>
      <w:r>
        <w:rPr>
          <w:rFonts w:ascii="Times New Roman" w:hAnsi="Times New Roman" w:cs="Times New Roman"/>
          <w:sz w:val="28"/>
          <w:szCs w:val="28"/>
        </w:rPr>
        <w:t>In addition</w:t>
      </w:r>
      <w:r w:rsidR="006C5545" w:rsidRPr="00571A5F">
        <w:rPr>
          <w:rFonts w:ascii="Times New Roman" w:hAnsi="Times New Roman" w:cs="Times New Roman"/>
          <w:sz w:val="28"/>
          <w:szCs w:val="28"/>
        </w:rPr>
        <w:t xml:space="preserve">, there were significant decreases in the cardiac NO level (6.27 ± 1.24) in the DOX group when compared with its corresponding in the control group </w:t>
      </w:r>
      <w:bookmarkStart w:id="8" w:name="OLE_LINK23"/>
      <w:bookmarkStart w:id="9" w:name="OLE_LINK24"/>
      <w:r w:rsidR="006C5545" w:rsidRPr="00571A5F">
        <w:rPr>
          <w:rFonts w:ascii="Times New Roman" w:hAnsi="Times New Roman" w:cs="Times New Roman"/>
          <w:sz w:val="28"/>
          <w:szCs w:val="28"/>
        </w:rPr>
        <w:t xml:space="preserve">(12.40 ± 1.74) </w:t>
      </w:r>
      <w:bookmarkEnd w:id="8"/>
      <w:bookmarkEnd w:id="9"/>
      <w:r w:rsidR="006C5545" w:rsidRPr="00571A5F">
        <w:rPr>
          <w:rFonts w:ascii="Times New Roman" w:hAnsi="Times New Roman" w:cs="Times New Roman"/>
          <w:sz w:val="28"/>
          <w:szCs w:val="28"/>
        </w:rPr>
        <w:t>and STG group (20.14 ± 2.23) while there was non-significant change in the cardiac NO level (6.27 ± 1.24) when compared with its corresponding in the STG + L-NAME group (6.24 ± 1.49).</w:t>
      </w:r>
    </w:p>
    <w:p w:rsidR="00BE1C07" w:rsidRPr="00571A5F" w:rsidRDefault="00BE1C07" w:rsidP="00571A5F">
      <w:pPr>
        <w:bidi w:val="0"/>
        <w:spacing w:line="360" w:lineRule="auto"/>
        <w:contextualSpacing/>
        <w:jc w:val="both"/>
        <w:rPr>
          <w:rFonts w:asciiTheme="majorBidi" w:hAnsiTheme="majorBidi" w:cstheme="majorBidi"/>
          <w:bCs/>
          <w:sz w:val="28"/>
          <w:szCs w:val="28"/>
          <w:lang w:bidi="ar-EG"/>
        </w:rPr>
      </w:pPr>
      <w:r w:rsidRPr="00571A5F">
        <w:rPr>
          <w:rFonts w:asciiTheme="majorBidi" w:hAnsiTheme="majorBidi" w:cstheme="majorBidi"/>
          <w:b/>
          <w:bCs/>
          <w:sz w:val="28"/>
          <w:szCs w:val="28"/>
          <w:lang w:bidi="ar-EG"/>
        </w:rPr>
        <w:t xml:space="preserve">3.3. </w:t>
      </w:r>
      <w:r w:rsidR="006C5545" w:rsidRPr="00571A5F">
        <w:rPr>
          <w:rFonts w:asciiTheme="majorBidi" w:hAnsiTheme="majorBidi" w:cstheme="majorBidi"/>
          <w:b/>
          <w:bCs/>
          <w:sz w:val="28"/>
          <w:szCs w:val="28"/>
        </w:rPr>
        <w:t xml:space="preserve">Effect of DOX on SBP and DBP </w:t>
      </w:r>
      <w:r w:rsidRPr="00571A5F">
        <w:rPr>
          <w:rFonts w:asciiTheme="majorBidi" w:hAnsiTheme="majorBidi" w:cstheme="majorBidi"/>
          <w:b/>
          <w:bCs/>
          <w:sz w:val="28"/>
          <w:szCs w:val="28"/>
          <w:lang w:bidi="ar-EG"/>
        </w:rPr>
        <w:t>(Table 1):</w:t>
      </w:r>
    </w:p>
    <w:p w:rsidR="006C5545" w:rsidRPr="00571A5F" w:rsidRDefault="006C5545" w:rsidP="00350CD0">
      <w:pPr>
        <w:bidi w:val="0"/>
        <w:spacing w:before="220" w:line="360" w:lineRule="auto"/>
        <w:ind w:firstLine="460"/>
        <w:jc w:val="both"/>
        <w:rPr>
          <w:rFonts w:ascii="Times New Roman" w:hAnsi="Times New Roman" w:cs="Times New Roman"/>
          <w:b/>
          <w:sz w:val="28"/>
        </w:rPr>
      </w:pPr>
      <w:r w:rsidRPr="00571A5F">
        <w:rPr>
          <w:rFonts w:ascii="Times New Roman" w:hAnsi="Times New Roman" w:cs="Times New Roman"/>
          <w:sz w:val="28"/>
          <w:szCs w:val="28"/>
        </w:rPr>
        <w:t xml:space="preserve">There were significant decreases in the SBP level </w:t>
      </w:r>
      <w:bookmarkStart w:id="10" w:name="OLE_LINK63"/>
      <w:r w:rsidRPr="00571A5F">
        <w:rPr>
          <w:rFonts w:ascii="Times New Roman" w:hAnsi="Times New Roman" w:cs="Times New Roman"/>
          <w:sz w:val="28"/>
          <w:szCs w:val="28"/>
        </w:rPr>
        <w:t>(</w:t>
      </w:r>
      <w:r w:rsidRPr="00571A5F">
        <w:rPr>
          <w:rFonts w:ascii="Times New Roman" w:hAnsi="Times New Roman" w:cs="Times New Roman"/>
          <w:color w:val="000000"/>
          <w:sz w:val="28"/>
          <w:szCs w:val="28"/>
        </w:rPr>
        <w:t xml:space="preserve">82.17 </w:t>
      </w:r>
      <w:r w:rsidRPr="00571A5F">
        <w:rPr>
          <w:rFonts w:ascii="Times New Roman" w:hAnsi="Times New Roman" w:cs="Times New Roman"/>
          <w:sz w:val="28"/>
          <w:szCs w:val="28"/>
        </w:rPr>
        <w:t xml:space="preserve">± 5.49) </w:t>
      </w:r>
      <w:bookmarkEnd w:id="10"/>
      <w:r w:rsidRPr="00571A5F">
        <w:rPr>
          <w:rFonts w:ascii="Times New Roman" w:hAnsi="Times New Roman" w:cs="Times New Roman"/>
          <w:sz w:val="28"/>
          <w:szCs w:val="28"/>
        </w:rPr>
        <w:t xml:space="preserve">in the DOX group when compared with its corresponding in the control group </w:t>
      </w:r>
      <w:bookmarkStart w:id="11" w:name="OLE_LINK64"/>
      <w:bookmarkStart w:id="12" w:name="OLE_LINK65"/>
      <w:r w:rsidRPr="00571A5F">
        <w:rPr>
          <w:rFonts w:ascii="Times New Roman" w:hAnsi="Times New Roman" w:cs="Times New Roman"/>
          <w:sz w:val="28"/>
          <w:szCs w:val="28"/>
        </w:rPr>
        <w:t>(</w:t>
      </w:r>
      <w:r w:rsidRPr="00571A5F">
        <w:rPr>
          <w:rFonts w:ascii="Times New Roman" w:hAnsi="Times New Roman" w:cs="Times New Roman"/>
          <w:color w:val="000000"/>
          <w:sz w:val="28"/>
          <w:szCs w:val="28"/>
        </w:rPr>
        <w:t xml:space="preserve">116.83 </w:t>
      </w:r>
      <w:r w:rsidRPr="00571A5F">
        <w:rPr>
          <w:rFonts w:ascii="Times New Roman" w:hAnsi="Times New Roman" w:cs="Times New Roman"/>
          <w:sz w:val="28"/>
          <w:szCs w:val="28"/>
        </w:rPr>
        <w:t xml:space="preserve">± 4.71) </w:t>
      </w:r>
      <w:bookmarkEnd w:id="11"/>
      <w:bookmarkEnd w:id="12"/>
      <w:r w:rsidRPr="00571A5F">
        <w:rPr>
          <w:rFonts w:ascii="Times New Roman" w:hAnsi="Times New Roman" w:cs="Times New Roman"/>
          <w:sz w:val="28"/>
          <w:szCs w:val="28"/>
        </w:rPr>
        <w:t>and STG group (</w:t>
      </w:r>
      <w:r w:rsidRPr="00571A5F">
        <w:rPr>
          <w:rFonts w:ascii="Times New Roman" w:hAnsi="Times New Roman" w:cs="Times New Roman"/>
          <w:color w:val="000000"/>
          <w:sz w:val="28"/>
          <w:szCs w:val="28"/>
        </w:rPr>
        <w:t xml:space="preserve">118 </w:t>
      </w:r>
      <w:r w:rsidRPr="00571A5F">
        <w:rPr>
          <w:rFonts w:ascii="Times New Roman" w:hAnsi="Times New Roman" w:cs="Times New Roman"/>
          <w:sz w:val="28"/>
          <w:szCs w:val="28"/>
        </w:rPr>
        <w:t>± 5.10) while there was non-significant change</w:t>
      </w:r>
      <w:r w:rsidRPr="00571A5F">
        <w:rPr>
          <w:rFonts w:ascii="Times New Roman" w:hAnsi="Times New Roman" w:cs="Times New Roman"/>
          <w:spacing w:val="-13"/>
          <w:sz w:val="28"/>
          <w:szCs w:val="28"/>
        </w:rPr>
        <w:t xml:space="preserve"> </w:t>
      </w:r>
      <w:r w:rsidRPr="00571A5F">
        <w:rPr>
          <w:rFonts w:ascii="Times New Roman" w:hAnsi="Times New Roman" w:cs="Times New Roman"/>
          <w:sz w:val="28"/>
          <w:szCs w:val="28"/>
        </w:rPr>
        <w:t>in</w:t>
      </w:r>
      <w:r w:rsidRPr="00571A5F">
        <w:rPr>
          <w:rFonts w:ascii="Times New Roman" w:hAnsi="Times New Roman" w:cs="Times New Roman"/>
          <w:spacing w:val="-11"/>
          <w:sz w:val="28"/>
          <w:szCs w:val="28"/>
        </w:rPr>
        <w:t xml:space="preserve"> </w:t>
      </w:r>
      <w:r w:rsidRPr="00571A5F">
        <w:rPr>
          <w:rFonts w:ascii="Times New Roman" w:hAnsi="Times New Roman" w:cs="Times New Roman"/>
          <w:sz w:val="28"/>
          <w:szCs w:val="28"/>
        </w:rPr>
        <w:t>SBP level (</w:t>
      </w:r>
      <w:r w:rsidRPr="00571A5F">
        <w:rPr>
          <w:rFonts w:ascii="Times New Roman" w:hAnsi="Times New Roman" w:cs="Times New Roman"/>
          <w:color w:val="000000"/>
          <w:sz w:val="28"/>
          <w:szCs w:val="28"/>
        </w:rPr>
        <w:t xml:space="preserve">82.17 </w:t>
      </w:r>
      <w:r w:rsidRPr="00571A5F">
        <w:rPr>
          <w:rFonts w:ascii="Times New Roman" w:hAnsi="Times New Roman" w:cs="Times New Roman"/>
          <w:sz w:val="28"/>
          <w:szCs w:val="28"/>
        </w:rPr>
        <w:t>± 5.49)</w:t>
      </w:r>
      <w:r w:rsidRPr="00571A5F">
        <w:rPr>
          <w:rFonts w:ascii="Times New Roman" w:hAnsi="Times New Roman" w:cs="Times New Roman"/>
          <w:spacing w:val="-11"/>
          <w:sz w:val="28"/>
          <w:szCs w:val="28"/>
        </w:rPr>
        <w:t xml:space="preserve"> </w:t>
      </w:r>
      <w:r w:rsidRPr="00571A5F">
        <w:rPr>
          <w:rFonts w:ascii="Times New Roman" w:hAnsi="Times New Roman" w:cs="Times New Roman"/>
          <w:sz w:val="28"/>
          <w:szCs w:val="28"/>
        </w:rPr>
        <w:t>when</w:t>
      </w:r>
      <w:r w:rsidRPr="00571A5F">
        <w:rPr>
          <w:rFonts w:ascii="Times New Roman" w:hAnsi="Times New Roman" w:cs="Times New Roman"/>
          <w:spacing w:val="-11"/>
          <w:sz w:val="28"/>
          <w:szCs w:val="28"/>
        </w:rPr>
        <w:t xml:space="preserve"> </w:t>
      </w:r>
      <w:r w:rsidRPr="00571A5F">
        <w:rPr>
          <w:rFonts w:ascii="Times New Roman" w:hAnsi="Times New Roman" w:cs="Times New Roman"/>
          <w:sz w:val="28"/>
          <w:szCs w:val="28"/>
        </w:rPr>
        <w:t>compared</w:t>
      </w:r>
      <w:r w:rsidRPr="00571A5F">
        <w:rPr>
          <w:rFonts w:ascii="Times New Roman" w:hAnsi="Times New Roman" w:cs="Times New Roman"/>
          <w:spacing w:val="-9"/>
          <w:sz w:val="28"/>
          <w:szCs w:val="28"/>
        </w:rPr>
        <w:t xml:space="preserve"> </w:t>
      </w:r>
      <w:r w:rsidRPr="00571A5F">
        <w:rPr>
          <w:rFonts w:ascii="Times New Roman" w:hAnsi="Times New Roman" w:cs="Times New Roman"/>
          <w:sz w:val="28"/>
          <w:szCs w:val="28"/>
        </w:rPr>
        <w:t>with its</w:t>
      </w:r>
      <w:r w:rsidRPr="00571A5F">
        <w:rPr>
          <w:rFonts w:ascii="Times New Roman" w:hAnsi="Times New Roman" w:cs="Times New Roman"/>
          <w:spacing w:val="-8"/>
          <w:sz w:val="28"/>
          <w:szCs w:val="28"/>
        </w:rPr>
        <w:t xml:space="preserve"> </w:t>
      </w:r>
      <w:r w:rsidRPr="00571A5F">
        <w:rPr>
          <w:rFonts w:ascii="Times New Roman" w:hAnsi="Times New Roman" w:cs="Times New Roman"/>
          <w:sz w:val="28"/>
          <w:szCs w:val="28"/>
        </w:rPr>
        <w:t>corresponding</w:t>
      </w:r>
      <w:r w:rsidRPr="00571A5F">
        <w:rPr>
          <w:rFonts w:ascii="Times New Roman" w:hAnsi="Times New Roman" w:cs="Times New Roman"/>
          <w:spacing w:val="-9"/>
          <w:sz w:val="28"/>
          <w:szCs w:val="28"/>
        </w:rPr>
        <w:t xml:space="preserve"> </w:t>
      </w:r>
      <w:r w:rsidRPr="00571A5F">
        <w:rPr>
          <w:rFonts w:ascii="Times New Roman" w:hAnsi="Times New Roman" w:cs="Times New Roman"/>
          <w:sz w:val="28"/>
          <w:szCs w:val="28"/>
        </w:rPr>
        <w:t>in</w:t>
      </w:r>
      <w:r w:rsidRPr="00571A5F">
        <w:rPr>
          <w:rFonts w:ascii="Times New Roman" w:hAnsi="Times New Roman" w:cs="Times New Roman"/>
          <w:spacing w:val="-9"/>
          <w:sz w:val="28"/>
          <w:szCs w:val="28"/>
        </w:rPr>
        <w:t xml:space="preserve"> </w:t>
      </w:r>
      <w:r w:rsidRPr="00571A5F">
        <w:rPr>
          <w:rFonts w:ascii="Times New Roman" w:hAnsi="Times New Roman" w:cs="Times New Roman"/>
          <w:sz w:val="28"/>
          <w:szCs w:val="28"/>
        </w:rPr>
        <w:t>the</w:t>
      </w:r>
      <w:r w:rsidRPr="00571A5F">
        <w:rPr>
          <w:rFonts w:ascii="Times New Roman" w:hAnsi="Times New Roman" w:cs="Times New Roman"/>
          <w:spacing w:val="-9"/>
          <w:sz w:val="28"/>
          <w:szCs w:val="28"/>
        </w:rPr>
        <w:t xml:space="preserve"> </w:t>
      </w:r>
      <w:r w:rsidRPr="00571A5F">
        <w:rPr>
          <w:rFonts w:ascii="Times New Roman" w:hAnsi="Times New Roman" w:cs="Times New Roman"/>
          <w:sz w:val="28"/>
          <w:szCs w:val="28"/>
        </w:rPr>
        <w:t>STG + L-NAME group</w:t>
      </w:r>
      <w:r w:rsidRPr="00571A5F">
        <w:rPr>
          <w:rFonts w:ascii="Times New Roman" w:hAnsi="Times New Roman" w:cs="Times New Roman"/>
          <w:spacing w:val="-8"/>
          <w:sz w:val="28"/>
          <w:szCs w:val="28"/>
        </w:rPr>
        <w:t xml:space="preserve"> </w:t>
      </w:r>
      <w:r w:rsidRPr="00571A5F">
        <w:rPr>
          <w:rFonts w:ascii="Times New Roman" w:hAnsi="Times New Roman" w:cs="Times New Roman"/>
          <w:sz w:val="28"/>
          <w:szCs w:val="28"/>
        </w:rPr>
        <w:t>(</w:t>
      </w:r>
      <w:r w:rsidRPr="00571A5F">
        <w:rPr>
          <w:rFonts w:ascii="Times New Roman" w:hAnsi="Times New Roman" w:cs="Times New Roman"/>
          <w:color w:val="000000"/>
          <w:sz w:val="28"/>
          <w:szCs w:val="28"/>
        </w:rPr>
        <w:t xml:space="preserve">85.33 </w:t>
      </w:r>
      <w:r w:rsidRPr="00571A5F">
        <w:rPr>
          <w:rFonts w:ascii="Times New Roman" w:hAnsi="Times New Roman" w:cs="Times New Roman"/>
          <w:sz w:val="28"/>
          <w:szCs w:val="28"/>
        </w:rPr>
        <w:t>± 6.80).</w:t>
      </w:r>
    </w:p>
    <w:p w:rsidR="00571A5F" w:rsidRDefault="006C5545" w:rsidP="00350CD0">
      <w:pPr>
        <w:bidi w:val="0"/>
        <w:spacing w:before="220"/>
        <w:ind w:firstLine="460"/>
        <w:jc w:val="both"/>
        <w:rPr>
          <w:rFonts w:ascii="Times New Roman" w:hAnsi="Times New Roman" w:cs="Times New Roman"/>
          <w:sz w:val="28"/>
          <w:szCs w:val="28"/>
        </w:rPr>
      </w:pPr>
      <w:r w:rsidRPr="00571A5F">
        <w:rPr>
          <w:rFonts w:ascii="Times New Roman" w:hAnsi="Times New Roman" w:cs="Times New Roman"/>
          <w:sz w:val="28"/>
          <w:szCs w:val="28"/>
        </w:rPr>
        <w:t xml:space="preserve">Moreover, there were significant decreases in the DBP level </w:t>
      </w:r>
      <w:bookmarkStart w:id="13" w:name="OLE_LINK66"/>
      <w:bookmarkStart w:id="14" w:name="OLE_LINK67"/>
      <w:r w:rsidRPr="00571A5F">
        <w:rPr>
          <w:rFonts w:ascii="Times New Roman" w:hAnsi="Times New Roman" w:cs="Times New Roman"/>
          <w:sz w:val="28"/>
          <w:szCs w:val="28"/>
        </w:rPr>
        <w:t xml:space="preserve">(45.67 ± 6.77) </w:t>
      </w:r>
      <w:bookmarkEnd w:id="13"/>
      <w:bookmarkEnd w:id="14"/>
      <w:r w:rsidRPr="00571A5F">
        <w:rPr>
          <w:rFonts w:ascii="Times New Roman" w:hAnsi="Times New Roman" w:cs="Times New Roman"/>
          <w:sz w:val="28"/>
          <w:szCs w:val="28"/>
        </w:rPr>
        <w:t xml:space="preserve">in the DOX group when compared with its corresponding in the control group </w:t>
      </w:r>
      <w:bookmarkStart w:id="15" w:name="OLE_LINK68"/>
      <w:bookmarkStart w:id="16" w:name="OLE_LINK69"/>
      <w:r w:rsidRPr="00571A5F">
        <w:rPr>
          <w:rFonts w:ascii="Times New Roman" w:hAnsi="Times New Roman" w:cs="Times New Roman"/>
          <w:sz w:val="28"/>
          <w:szCs w:val="28"/>
        </w:rPr>
        <w:t xml:space="preserve">(77.83 ± 4.53) </w:t>
      </w:r>
      <w:bookmarkEnd w:id="15"/>
      <w:bookmarkEnd w:id="16"/>
      <w:r w:rsidRPr="00571A5F">
        <w:rPr>
          <w:rFonts w:ascii="Times New Roman" w:hAnsi="Times New Roman" w:cs="Times New Roman"/>
          <w:sz w:val="28"/>
          <w:szCs w:val="28"/>
        </w:rPr>
        <w:t xml:space="preserve">and STG group </w:t>
      </w:r>
      <w:bookmarkStart w:id="17" w:name="OLE_LINK72"/>
      <w:bookmarkStart w:id="18" w:name="OLE_LINK73"/>
      <w:r w:rsidRPr="00571A5F">
        <w:rPr>
          <w:rFonts w:ascii="Times New Roman" w:hAnsi="Times New Roman" w:cs="Times New Roman"/>
          <w:sz w:val="28"/>
          <w:szCs w:val="28"/>
        </w:rPr>
        <w:t xml:space="preserve">(78.67 ± 2.50 ) </w:t>
      </w:r>
      <w:bookmarkEnd w:id="17"/>
      <w:bookmarkEnd w:id="18"/>
      <w:r w:rsidRPr="00571A5F">
        <w:rPr>
          <w:rFonts w:ascii="Times New Roman" w:hAnsi="Times New Roman" w:cs="Times New Roman"/>
          <w:sz w:val="28"/>
          <w:szCs w:val="28"/>
        </w:rPr>
        <w:t>while there was n</w:t>
      </w:r>
      <w:r w:rsidR="00350CD0">
        <w:rPr>
          <w:rFonts w:ascii="Times New Roman" w:hAnsi="Times New Roman" w:cs="Times New Roman"/>
          <w:sz w:val="28"/>
          <w:szCs w:val="28"/>
        </w:rPr>
        <w:t>on-significant change</w:t>
      </w:r>
      <w:r w:rsidRPr="00571A5F">
        <w:rPr>
          <w:rFonts w:ascii="Times New Roman" w:hAnsi="Times New Roman" w:cs="Times New Roman"/>
          <w:sz w:val="28"/>
          <w:szCs w:val="28"/>
        </w:rPr>
        <w:t xml:space="preserve"> in DBP level (45.67 ± 6.77) when compared with its corresponding in the STG + L-NAME group (43 ± 5.80).</w:t>
      </w:r>
    </w:p>
    <w:p w:rsidR="00350CD0" w:rsidRDefault="00350CD0" w:rsidP="00350CD0">
      <w:pPr>
        <w:bidi w:val="0"/>
        <w:spacing w:before="220"/>
        <w:ind w:firstLine="460"/>
        <w:jc w:val="both"/>
        <w:rPr>
          <w:rFonts w:ascii="Times New Roman" w:hAnsi="Times New Roman" w:cs="Times New Roman"/>
          <w:sz w:val="28"/>
          <w:szCs w:val="28"/>
        </w:rPr>
      </w:pPr>
    </w:p>
    <w:p w:rsidR="00350CD0" w:rsidRPr="00571A5F" w:rsidRDefault="00350CD0" w:rsidP="00350CD0">
      <w:pPr>
        <w:bidi w:val="0"/>
        <w:spacing w:before="220"/>
        <w:ind w:firstLine="460"/>
        <w:jc w:val="both"/>
        <w:rPr>
          <w:rFonts w:ascii="Times New Roman" w:hAnsi="Times New Roman" w:cs="Times New Roman"/>
          <w:sz w:val="28"/>
          <w:szCs w:val="28"/>
        </w:rPr>
      </w:pPr>
    </w:p>
    <w:p w:rsidR="00BE1C07" w:rsidRPr="00571A5F" w:rsidRDefault="00BE1C07" w:rsidP="00BA6EB4">
      <w:pPr>
        <w:pStyle w:val="Default"/>
        <w:jc w:val="both"/>
      </w:pPr>
      <w:r w:rsidRPr="00571A5F">
        <w:rPr>
          <w:rFonts w:asciiTheme="majorBidi" w:hAnsiTheme="majorBidi" w:cstheme="majorBidi"/>
          <w:lang w:bidi="ar-EG"/>
        </w:rPr>
        <w:t xml:space="preserve">Table 1: </w:t>
      </w:r>
      <w:r w:rsidRPr="00571A5F">
        <w:t>Comparison of</w:t>
      </w:r>
      <w:bookmarkStart w:id="19" w:name="_Hlk47366588"/>
      <w:r w:rsidRPr="00571A5F">
        <w:rPr>
          <w:rFonts w:asciiTheme="majorBidi" w:hAnsiTheme="majorBidi" w:cstheme="majorBidi"/>
          <w:lang w:bidi="ar-EG"/>
        </w:rPr>
        <w:t xml:space="preserve"> </w:t>
      </w:r>
      <w:bookmarkEnd w:id="19"/>
      <w:r w:rsidR="00496BFE" w:rsidRPr="00571A5F">
        <w:t>ECG changes{ ST segment amplitude (m.v), heart rate (cycle</w:t>
      </w:r>
      <w:r w:rsidR="00496BFE" w:rsidRPr="00571A5F">
        <w:rPr>
          <w:i/>
        </w:rPr>
        <w:t xml:space="preserve">/ </w:t>
      </w:r>
      <w:r w:rsidR="00496BFE" w:rsidRPr="00571A5F">
        <w:t>min)}, levels of serum CK-MB (U</w:t>
      </w:r>
      <w:r w:rsidR="00496BFE" w:rsidRPr="00571A5F">
        <w:rPr>
          <w:i/>
        </w:rPr>
        <w:t>/</w:t>
      </w:r>
      <w:r w:rsidR="00496BFE" w:rsidRPr="00571A5F">
        <w:t xml:space="preserve">L), serum LDH(μ/U), </w:t>
      </w:r>
      <w:r w:rsidR="00496BFE" w:rsidRPr="00571A5F">
        <w:rPr>
          <w:lang w:bidi="ar-EG"/>
        </w:rPr>
        <w:t>serum SOD (U/mL), serum MDA (nmoL/mL)</w:t>
      </w:r>
      <w:r w:rsidR="00496BFE" w:rsidRPr="00571A5F">
        <w:t xml:space="preserve">, cardiac NO </w:t>
      </w:r>
      <w:r w:rsidR="00496BFE" w:rsidRPr="00571A5F">
        <w:rPr>
          <w:lang w:bidi="ar-EG"/>
        </w:rPr>
        <w:t>(</w:t>
      </w:r>
      <w:r w:rsidR="00496BFE" w:rsidRPr="00571A5F">
        <w:t xml:space="preserve">μmol/g), </w:t>
      </w:r>
      <w:r w:rsidR="00496BFE" w:rsidRPr="00571A5F">
        <w:rPr>
          <w:lang w:bidi="ar-EG"/>
        </w:rPr>
        <w:t xml:space="preserve">SBP (mmHg) and DBP (mmHg) </w:t>
      </w:r>
      <w:r w:rsidRPr="00571A5F">
        <w:t xml:space="preserve">between control, </w:t>
      </w:r>
      <w:r w:rsidR="00137CB0" w:rsidRPr="00571A5F">
        <w:t>DOX</w:t>
      </w:r>
      <w:r w:rsidRPr="00571A5F">
        <w:t xml:space="preserve">, </w:t>
      </w:r>
      <w:r w:rsidR="00137CB0" w:rsidRPr="00571A5F">
        <w:t>STG</w:t>
      </w:r>
      <w:r w:rsidRPr="00571A5F">
        <w:t xml:space="preserve"> and </w:t>
      </w:r>
      <w:r w:rsidR="002F1A40" w:rsidRPr="00571A5F">
        <w:rPr>
          <w:rFonts w:asciiTheme="majorBidi" w:eastAsia="Calibri" w:hAnsiTheme="majorBidi" w:cstheme="majorBidi"/>
        </w:rPr>
        <w:t xml:space="preserve">STG+ L-NAME </w:t>
      </w:r>
      <w:r w:rsidRPr="00571A5F">
        <w:t>groups</w:t>
      </w:r>
    </w:p>
    <w:tbl>
      <w:tblPr>
        <w:tblStyle w:val="TableGrid"/>
        <w:tblW w:w="9690"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2097"/>
        <w:gridCol w:w="1559"/>
        <w:gridCol w:w="1559"/>
        <w:gridCol w:w="1701"/>
        <w:gridCol w:w="1559"/>
        <w:gridCol w:w="1215"/>
      </w:tblGrid>
      <w:tr w:rsidR="00EA1F79" w:rsidRPr="00571A5F" w:rsidTr="00BA6EB4">
        <w:trPr>
          <w:trHeight w:val="348"/>
          <w:jc w:val="center"/>
        </w:trPr>
        <w:tc>
          <w:tcPr>
            <w:tcW w:w="2097" w:type="dxa"/>
            <w:tcBorders>
              <w:top w:val="thinThickSmallGap" w:sz="12" w:space="0" w:color="auto"/>
              <w:bottom w:val="thinThickSmallGap" w:sz="12" w:space="0" w:color="auto"/>
              <w:right w:val="thinThickSmallGap" w:sz="12" w:space="0" w:color="auto"/>
            </w:tcBorders>
            <w:shd w:val="clear" w:color="auto" w:fill="D9D9D9" w:themeFill="background1" w:themeFillShade="D9"/>
          </w:tcPr>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Groups</w:t>
            </w:r>
          </w:p>
        </w:tc>
        <w:tc>
          <w:tcPr>
            <w:tcW w:w="1559" w:type="dxa"/>
            <w:tcBorders>
              <w:top w:val="thinThickSmallGap" w:sz="12" w:space="0" w:color="auto"/>
              <w:left w:val="thinThickSmallGap" w:sz="12" w:space="0" w:color="auto"/>
              <w:bottom w:val="thinThickSmallGap" w:sz="12" w:space="0" w:color="auto"/>
            </w:tcBorders>
            <w:shd w:val="clear" w:color="auto" w:fill="D9D9D9" w:themeFill="background1" w:themeFillShade="D9"/>
          </w:tcPr>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Control group (I)</w:t>
            </w:r>
          </w:p>
        </w:tc>
        <w:tc>
          <w:tcPr>
            <w:tcW w:w="1559" w:type="dxa"/>
            <w:tcBorders>
              <w:top w:val="thinThickSmallGap" w:sz="12" w:space="0" w:color="auto"/>
              <w:bottom w:val="thinThickSmallGap" w:sz="12" w:space="0" w:color="auto"/>
            </w:tcBorders>
            <w:shd w:val="clear" w:color="auto" w:fill="D9D9D9" w:themeFill="background1" w:themeFillShade="D9"/>
          </w:tcPr>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DOX group</w:t>
            </w:r>
          </w:p>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(II)</w:t>
            </w:r>
          </w:p>
        </w:tc>
        <w:tc>
          <w:tcPr>
            <w:tcW w:w="1701" w:type="dxa"/>
            <w:tcBorders>
              <w:top w:val="thinThickSmallGap" w:sz="12" w:space="0" w:color="auto"/>
              <w:bottom w:val="thinThickSmallGap" w:sz="12" w:space="0" w:color="auto"/>
            </w:tcBorders>
            <w:shd w:val="clear" w:color="auto" w:fill="D9D9D9" w:themeFill="background1" w:themeFillShade="D9"/>
          </w:tcPr>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STG group</w:t>
            </w:r>
          </w:p>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hAnsiTheme="majorBidi" w:cstheme="majorBidi"/>
                <w:b/>
                <w:bCs/>
                <w:sz w:val="24"/>
                <w:szCs w:val="24"/>
                <w:lang w:bidi="ar-EG"/>
              </w:rPr>
              <w:t>(III)</w:t>
            </w:r>
          </w:p>
        </w:tc>
        <w:tc>
          <w:tcPr>
            <w:tcW w:w="1559" w:type="dxa"/>
            <w:tcBorders>
              <w:top w:val="thinThickSmallGap" w:sz="12" w:space="0" w:color="auto"/>
              <w:bottom w:val="thinThickSmallGap" w:sz="12" w:space="0" w:color="auto"/>
            </w:tcBorders>
            <w:shd w:val="clear" w:color="auto" w:fill="D9D9D9" w:themeFill="background1" w:themeFillShade="D9"/>
          </w:tcPr>
          <w:p w:rsidR="00BA6EB4" w:rsidRPr="00571A5F" w:rsidRDefault="00EA1F79" w:rsidP="00BA6EB4">
            <w:pPr>
              <w:bidi w:val="0"/>
              <w:spacing w:line="480" w:lineRule="auto"/>
              <w:contextualSpacing/>
              <w:jc w:val="center"/>
              <w:rPr>
                <w:rFonts w:asciiTheme="majorBidi" w:eastAsia="Calibri" w:hAnsiTheme="majorBidi" w:cstheme="majorBidi"/>
                <w:b/>
                <w:bCs/>
                <w:color w:val="000000"/>
                <w:sz w:val="24"/>
                <w:szCs w:val="24"/>
              </w:rPr>
            </w:pPr>
            <w:r w:rsidRPr="00571A5F">
              <w:rPr>
                <w:rFonts w:asciiTheme="majorBidi" w:eastAsia="Calibri" w:hAnsiTheme="majorBidi" w:cstheme="majorBidi"/>
                <w:b/>
                <w:bCs/>
                <w:color w:val="000000"/>
                <w:sz w:val="24"/>
                <w:szCs w:val="24"/>
              </w:rPr>
              <w:t>STG</w:t>
            </w:r>
            <w:r w:rsidR="00BA6EB4" w:rsidRPr="00571A5F">
              <w:rPr>
                <w:rFonts w:asciiTheme="majorBidi" w:eastAsia="Calibri" w:hAnsiTheme="majorBidi" w:cstheme="majorBidi"/>
                <w:b/>
                <w:bCs/>
                <w:color w:val="000000"/>
                <w:sz w:val="24"/>
                <w:szCs w:val="24"/>
              </w:rPr>
              <w:t xml:space="preserve"> </w:t>
            </w:r>
            <w:r w:rsidRPr="00571A5F">
              <w:rPr>
                <w:rFonts w:asciiTheme="majorBidi" w:eastAsia="Calibri" w:hAnsiTheme="majorBidi" w:cstheme="majorBidi"/>
                <w:b/>
                <w:bCs/>
                <w:color w:val="000000"/>
                <w:sz w:val="24"/>
                <w:szCs w:val="24"/>
              </w:rPr>
              <w:t>+</w:t>
            </w:r>
          </w:p>
          <w:p w:rsidR="00EA1F79" w:rsidRPr="00571A5F" w:rsidRDefault="00EA1F79" w:rsidP="00BA6EB4">
            <w:pPr>
              <w:bidi w:val="0"/>
              <w:spacing w:line="480" w:lineRule="auto"/>
              <w:contextualSpacing/>
              <w:jc w:val="center"/>
              <w:rPr>
                <w:rFonts w:asciiTheme="majorBidi" w:hAnsiTheme="majorBidi" w:cstheme="majorBidi"/>
                <w:b/>
                <w:bCs/>
                <w:sz w:val="24"/>
                <w:szCs w:val="24"/>
                <w:lang w:bidi="ar-EG"/>
              </w:rPr>
            </w:pPr>
            <w:r w:rsidRPr="00571A5F">
              <w:rPr>
                <w:rFonts w:asciiTheme="majorBidi" w:eastAsia="Calibri" w:hAnsiTheme="majorBidi" w:cstheme="majorBidi"/>
                <w:b/>
                <w:bCs/>
                <w:color w:val="000000"/>
                <w:sz w:val="24"/>
                <w:szCs w:val="24"/>
              </w:rPr>
              <w:t xml:space="preserve">L-NAME </w:t>
            </w:r>
            <w:r w:rsidRPr="00571A5F">
              <w:rPr>
                <w:rFonts w:asciiTheme="majorBidi" w:hAnsiTheme="majorBidi" w:cstheme="majorBidi"/>
                <w:b/>
                <w:bCs/>
                <w:sz w:val="24"/>
                <w:szCs w:val="24"/>
                <w:lang w:bidi="ar-EG"/>
              </w:rPr>
              <w:t>group (IV)</w:t>
            </w:r>
          </w:p>
        </w:tc>
        <w:tc>
          <w:tcPr>
            <w:tcW w:w="1215" w:type="dxa"/>
            <w:tcBorders>
              <w:top w:val="thinThickSmallGap" w:sz="12" w:space="0" w:color="auto"/>
              <w:bottom w:val="thinThickSmallGap" w:sz="12" w:space="0" w:color="auto"/>
            </w:tcBorders>
            <w:shd w:val="clear" w:color="auto" w:fill="D9D9D9" w:themeFill="background1" w:themeFillShade="D9"/>
          </w:tcPr>
          <w:p w:rsidR="00EA1F79" w:rsidRPr="00571A5F" w:rsidRDefault="00EA1F79" w:rsidP="00BA6EB4">
            <w:pPr>
              <w:bidi w:val="0"/>
              <w:spacing w:line="480" w:lineRule="auto"/>
              <w:contextualSpacing/>
              <w:jc w:val="center"/>
              <w:rPr>
                <w:rFonts w:asciiTheme="majorBidi" w:eastAsia="Calibri" w:hAnsiTheme="majorBidi" w:cstheme="majorBidi"/>
                <w:b/>
                <w:bCs/>
                <w:color w:val="000000"/>
                <w:sz w:val="24"/>
                <w:szCs w:val="24"/>
              </w:rPr>
            </w:pPr>
            <w:r w:rsidRPr="00571A5F">
              <w:rPr>
                <w:rFonts w:asciiTheme="majorBidi" w:eastAsia="Calibri" w:hAnsiTheme="majorBidi" w:cstheme="majorBidi"/>
                <w:b/>
                <w:bCs/>
                <w:color w:val="000000"/>
                <w:sz w:val="24"/>
                <w:szCs w:val="24"/>
              </w:rPr>
              <w:t>P Value</w:t>
            </w:r>
          </w:p>
        </w:tc>
      </w:tr>
      <w:tr w:rsidR="00EA1F79" w:rsidRPr="00571A5F" w:rsidTr="00BA6EB4">
        <w:trPr>
          <w:trHeight w:val="348"/>
          <w:jc w:val="center"/>
        </w:trPr>
        <w:tc>
          <w:tcPr>
            <w:tcW w:w="2097" w:type="dxa"/>
            <w:tcBorders>
              <w:top w:val="thinThickSmallGap" w:sz="12" w:space="0" w:color="auto"/>
              <w:bottom w:val="single" w:sz="6" w:space="0" w:color="auto"/>
              <w:right w:val="thinThickSmallGap" w:sz="12" w:space="0" w:color="auto"/>
            </w:tcBorders>
            <w:shd w:val="clear" w:color="auto" w:fill="D9D9D9" w:themeFill="background1" w:themeFillShade="D9"/>
          </w:tcPr>
          <w:p w:rsidR="00EA1F79" w:rsidRPr="00571A5F" w:rsidRDefault="00EA1F79" w:rsidP="00BA6EB4">
            <w:pPr>
              <w:pStyle w:val="TableParagraph"/>
              <w:spacing w:before="13" w:line="480" w:lineRule="auto"/>
              <w:ind w:left="4"/>
              <w:jc w:val="center"/>
              <w:rPr>
                <w:rFonts w:ascii="Times New Roman" w:hAnsi="Times New Roman" w:cs="Times New Roman"/>
                <w:b/>
                <w:bCs/>
                <w:sz w:val="24"/>
                <w:szCs w:val="24"/>
              </w:rPr>
            </w:pPr>
            <w:r w:rsidRPr="00571A5F">
              <w:rPr>
                <w:rFonts w:ascii="Times New Roman" w:hAnsi="Times New Roman" w:cs="Times New Roman"/>
                <w:b/>
                <w:bCs/>
                <w:sz w:val="24"/>
                <w:szCs w:val="24"/>
              </w:rPr>
              <w:t>ST segment amplitude</w:t>
            </w:r>
            <w:r w:rsidR="00BA6EB4" w:rsidRPr="00571A5F">
              <w:rPr>
                <w:rFonts w:ascii="Times New Roman" w:hAnsi="Times New Roman" w:cs="Times New Roman"/>
                <w:b/>
                <w:bCs/>
                <w:sz w:val="24"/>
                <w:szCs w:val="24"/>
              </w:rPr>
              <w:t xml:space="preserve"> </w:t>
            </w:r>
            <w:r w:rsidRPr="00571A5F">
              <w:rPr>
                <w:rFonts w:ascii="Times New Roman" w:hAnsi="Times New Roman" w:cs="Times New Roman"/>
                <w:b/>
                <w:bCs/>
                <w:w w:val="95"/>
                <w:sz w:val="24"/>
                <w:szCs w:val="24"/>
              </w:rPr>
              <w:t>(m.v)</w:t>
            </w:r>
          </w:p>
        </w:tc>
        <w:tc>
          <w:tcPr>
            <w:tcW w:w="1559" w:type="dxa"/>
            <w:tcBorders>
              <w:top w:val="thinThickSmallGap" w:sz="12" w:space="0" w:color="auto"/>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tl/>
                <w:lang w:bidi="ar-EG"/>
              </w:rPr>
            </w:pPr>
            <w:r w:rsidRPr="00571A5F">
              <w:rPr>
                <w:rFonts w:ascii="Times New Roman" w:hAnsi="Times New Roman" w:cs="Times New Roman"/>
                <w:sz w:val="24"/>
                <w:szCs w:val="24"/>
              </w:rPr>
              <w:t>0 ± 0.00</w:t>
            </w:r>
          </w:p>
        </w:tc>
        <w:tc>
          <w:tcPr>
            <w:tcW w:w="1559" w:type="dxa"/>
            <w:tcBorders>
              <w:top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0.17 ±0.04</w:t>
            </w:r>
            <w:r w:rsidRPr="00571A5F">
              <w:rPr>
                <w:rFonts w:ascii="Times New Roman" w:hAnsi="Times New Roman" w:cs="Times New Roman"/>
                <w:sz w:val="24"/>
                <w:szCs w:val="24"/>
                <w:vertAlign w:val="superscript"/>
              </w:rPr>
              <w:t>a,c</w:t>
            </w:r>
          </w:p>
        </w:tc>
        <w:tc>
          <w:tcPr>
            <w:tcW w:w="1701" w:type="dxa"/>
            <w:tcBorders>
              <w:top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color w:val="000000"/>
                <w:sz w:val="24"/>
                <w:szCs w:val="24"/>
                <w:lang w:bidi="ar-EG"/>
              </w:rPr>
              <w:t>0±0.00</w:t>
            </w:r>
            <w:r w:rsidRPr="00571A5F">
              <w:rPr>
                <w:rFonts w:ascii="Times New Roman" w:hAnsi="Times New Roman" w:cs="Times New Roman"/>
                <w:color w:val="000000"/>
                <w:sz w:val="24"/>
                <w:szCs w:val="24"/>
                <w:vertAlign w:val="superscript"/>
                <w:lang w:bidi="ar-EG"/>
              </w:rPr>
              <w:t>b,d</w:t>
            </w:r>
          </w:p>
        </w:tc>
        <w:tc>
          <w:tcPr>
            <w:tcW w:w="1559" w:type="dxa"/>
            <w:tcBorders>
              <w:top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0.16 ± 0.06</w:t>
            </w:r>
            <w:r w:rsidRPr="00571A5F">
              <w:rPr>
                <w:rFonts w:ascii="Times New Roman" w:hAnsi="Times New Roman" w:cs="Times New Roman"/>
                <w:sz w:val="24"/>
                <w:szCs w:val="24"/>
                <w:vertAlign w:val="superscript"/>
              </w:rPr>
              <w:t>a,c</w:t>
            </w:r>
          </w:p>
        </w:tc>
        <w:tc>
          <w:tcPr>
            <w:tcW w:w="1215" w:type="dxa"/>
            <w:tcBorders>
              <w:top w:val="thinThickSmallGap" w:sz="12" w:space="0" w:color="auto"/>
            </w:tcBorders>
          </w:tcPr>
          <w:p w:rsidR="00EA1F79" w:rsidRPr="00571A5F" w:rsidRDefault="00EA1F79" w:rsidP="006017EA">
            <w:pPr>
              <w:spacing w:after="0" w:line="480" w:lineRule="auto"/>
              <w:jc w:val="center"/>
              <w:rPr>
                <w:rFonts w:ascii="Times New Roman" w:hAnsi="Times New Roman" w:cs="Times New Roman"/>
                <w:sz w:val="24"/>
                <w:szCs w:val="24"/>
                <w:rtl/>
                <w:lang w:bidi="ar-EG"/>
              </w:rPr>
            </w:pPr>
            <w:r w:rsidRPr="00571A5F">
              <w:rPr>
                <w:rFonts w:ascii="Times New Roman" w:hAnsi="Times New Roman" w:cs="Times New Roman"/>
                <w:sz w:val="24"/>
                <w:szCs w:val="24"/>
                <w:lang w:bidi="ar-EG"/>
              </w:rPr>
              <w:t>&lt; 0.05</w:t>
            </w:r>
          </w:p>
        </w:tc>
      </w:tr>
      <w:tr w:rsidR="00EA1F79" w:rsidRPr="00571A5F" w:rsidTr="00BA6EB4">
        <w:trPr>
          <w:trHeight w:val="747"/>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2" w:line="480" w:lineRule="auto"/>
              <w:ind w:left="106"/>
              <w:jc w:val="center"/>
              <w:rPr>
                <w:rFonts w:ascii="Times New Roman" w:hAnsi="Times New Roman" w:cs="Times New Roman"/>
                <w:b/>
                <w:bCs/>
                <w:sz w:val="24"/>
                <w:szCs w:val="24"/>
              </w:rPr>
            </w:pPr>
            <w:r w:rsidRPr="00571A5F">
              <w:rPr>
                <w:rFonts w:ascii="Times New Roman" w:hAnsi="Times New Roman" w:cs="Times New Roman"/>
                <w:b/>
                <w:bCs/>
                <w:sz w:val="24"/>
                <w:szCs w:val="24"/>
              </w:rPr>
              <w:t>Heart rate</w:t>
            </w:r>
          </w:p>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rPr>
            </w:pPr>
            <w:r w:rsidRPr="00571A5F">
              <w:rPr>
                <w:rFonts w:ascii="Times New Roman" w:hAnsi="Times New Roman" w:cs="Times New Roman"/>
                <w:b/>
                <w:bCs/>
                <w:sz w:val="24"/>
                <w:szCs w:val="24"/>
              </w:rPr>
              <w:t>(cycle/min)</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lang w:bidi="ar-EG"/>
              </w:rPr>
            </w:pPr>
            <w:r w:rsidRPr="00571A5F">
              <w:rPr>
                <w:rFonts w:ascii="Times New Roman" w:hAnsi="Times New Roman" w:cs="Times New Roman"/>
                <w:color w:val="000000"/>
                <w:sz w:val="24"/>
                <w:szCs w:val="24"/>
                <w:lang w:bidi="ar-EG"/>
              </w:rPr>
              <w:t xml:space="preserve">356.67 </w:t>
            </w:r>
            <w:r w:rsidRPr="00571A5F">
              <w:rPr>
                <w:rFonts w:ascii="Times New Roman" w:hAnsi="Times New Roman" w:cs="Times New Roman"/>
                <w:sz w:val="24"/>
                <w:szCs w:val="24"/>
              </w:rPr>
              <w:t>± 39.20</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tl/>
                <w:lang w:bidi="ar-EG"/>
              </w:rPr>
            </w:pPr>
            <w:r w:rsidRPr="00571A5F">
              <w:rPr>
                <w:rFonts w:ascii="Times New Roman" w:hAnsi="Times New Roman" w:cs="Times New Roman"/>
                <w:color w:val="000000"/>
                <w:sz w:val="24"/>
                <w:szCs w:val="24"/>
                <w:lang w:bidi="ar-EG"/>
              </w:rPr>
              <w:t xml:space="preserve">205 </w:t>
            </w:r>
            <w:r w:rsidRPr="00571A5F">
              <w:rPr>
                <w:rFonts w:ascii="Times New Roman" w:hAnsi="Times New Roman" w:cs="Times New Roman"/>
                <w:sz w:val="24"/>
                <w:szCs w:val="24"/>
              </w:rPr>
              <w:t>± 23.24</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lang w:bidi="ar-EG"/>
              </w:rPr>
            </w:pPr>
            <w:r w:rsidRPr="00571A5F">
              <w:rPr>
                <w:rFonts w:ascii="Times New Roman" w:hAnsi="Times New Roman" w:cs="Times New Roman"/>
                <w:color w:val="000000"/>
                <w:sz w:val="24"/>
                <w:szCs w:val="24"/>
                <w:lang w:bidi="ar-EG"/>
              </w:rPr>
              <w:t xml:space="preserve">368.33 </w:t>
            </w:r>
            <w:r w:rsidRPr="00571A5F">
              <w:rPr>
                <w:rFonts w:ascii="Times New Roman" w:hAnsi="Times New Roman" w:cs="Times New Roman"/>
                <w:sz w:val="24"/>
                <w:szCs w:val="24"/>
              </w:rPr>
              <w:t>± 43.55</w:t>
            </w:r>
            <w:r w:rsidRPr="00571A5F">
              <w:rPr>
                <w:rFonts w:ascii="Times New Roman" w:hAnsi="Times New Roman" w:cs="Times New Roman"/>
                <w:sz w:val="24"/>
                <w:szCs w:val="24"/>
                <w:vertAlign w:val="superscript"/>
              </w:rPr>
              <w:t>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tl/>
                <w:lang w:bidi="ar-EG"/>
              </w:rPr>
            </w:pPr>
            <w:r w:rsidRPr="00571A5F">
              <w:rPr>
                <w:rFonts w:ascii="Times New Roman" w:hAnsi="Times New Roman" w:cs="Times New Roman"/>
                <w:color w:val="000000"/>
                <w:sz w:val="24"/>
                <w:szCs w:val="24"/>
                <w:lang w:bidi="ar-EG"/>
              </w:rPr>
              <w:t xml:space="preserve">206.67 </w:t>
            </w:r>
            <w:r w:rsidRPr="00571A5F">
              <w:rPr>
                <w:rFonts w:ascii="Times New Roman" w:hAnsi="Times New Roman" w:cs="Times New Roman"/>
                <w:sz w:val="24"/>
                <w:szCs w:val="24"/>
              </w:rPr>
              <w:t>± 21.13</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719"/>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2" w:line="480" w:lineRule="auto"/>
              <w:ind w:left="103"/>
              <w:jc w:val="center"/>
              <w:rPr>
                <w:rFonts w:ascii="Times New Roman" w:hAnsi="Times New Roman" w:cs="Times New Roman"/>
                <w:b/>
                <w:bCs/>
                <w:sz w:val="24"/>
                <w:szCs w:val="24"/>
              </w:rPr>
            </w:pPr>
            <w:r w:rsidRPr="00571A5F">
              <w:rPr>
                <w:rFonts w:ascii="Times New Roman" w:hAnsi="Times New Roman" w:cs="Times New Roman"/>
                <w:b/>
                <w:bCs/>
                <w:w w:val="95"/>
                <w:sz w:val="24"/>
                <w:szCs w:val="24"/>
              </w:rPr>
              <w:t>Serum CK-MB(U/L)</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314.67 ± 35.16</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602.83 ± 37.15</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317 ± 31.16</w:t>
            </w:r>
            <w:r w:rsidRPr="00571A5F">
              <w:rPr>
                <w:rFonts w:ascii="Times New Roman" w:hAnsi="Times New Roman" w:cs="Times New Roman"/>
                <w:sz w:val="24"/>
                <w:szCs w:val="24"/>
                <w:vertAlign w:val="superscript"/>
              </w:rPr>
              <w:t>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610.33 ± 32.46</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813"/>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rPr>
            </w:pPr>
            <w:r w:rsidRPr="00571A5F">
              <w:rPr>
                <w:rFonts w:ascii="Times New Roman" w:hAnsi="Times New Roman" w:cs="Times New Roman"/>
                <w:b/>
                <w:bCs/>
                <w:sz w:val="24"/>
                <w:szCs w:val="24"/>
              </w:rPr>
              <w:t>Serum LDH (μ/U)</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197 ± 15.28</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318 ± 26.75</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201.17 ± 18.50</w:t>
            </w:r>
            <w:r w:rsidRPr="00571A5F">
              <w:rPr>
                <w:rFonts w:ascii="Times New Roman" w:hAnsi="Times New Roman" w:cs="Times New Roman"/>
                <w:sz w:val="24"/>
                <w:szCs w:val="24"/>
                <w:vertAlign w:val="superscript"/>
              </w:rPr>
              <w:t>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332.17 ± 37.51</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838"/>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2" w:line="480" w:lineRule="auto"/>
              <w:ind w:left="106" w:right="107"/>
              <w:jc w:val="center"/>
              <w:rPr>
                <w:rFonts w:ascii="Times New Roman" w:hAnsi="Times New Roman" w:cs="Times New Roman"/>
                <w:b/>
                <w:bCs/>
                <w:sz w:val="24"/>
                <w:szCs w:val="24"/>
              </w:rPr>
            </w:pPr>
            <w:r w:rsidRPr="00571A5F">
              <w:rPr>
                <w:rFonts w:ascii="Times New Roman" w:hAnsi="Times New Roman" w:cs="Times New Roman"/>
                <w:b/>
                <w:bCs/>
                <w:sz w:val="24"/>
                <w:szCs w:val="24"/>
                <w:lang w:bidi="ar-EG"/>
              </w:rPr>
              <w:t>Serum SOD (U/mL)</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rtl/>
                <w:lang w:bidi="ar-EG"/>
              </w:rPr>
            </w:pPr>
            <w:r w:rsidRPr="00571A5F">
              <w:rPr>
                <w:rFonts w:ascii="Times New Roman" w:hAnsi="Times New Roman" w:cs="Times New Roman"/>
                <w:sz w:val="24"/>
                <w:szCs w:val="24"/>
              </w:rPr>
              <w:t>14.13 ± 2.97</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6.32 ± 1.47</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19.70 ± 1.84</w:t>
            </w:r>
            <w:r w:rsidRPr="00571A5F">
              <w:rPr>
                <w:rFonts w:ascii="Times New Roman" w:hAnsi="Times New Roman" w:cs="Times New Roman"/>
                <w:sz w:val="24"/>
                <w:szCs w:val="24"/>
                <w:vertAlign w:val="superscript"/>
              </w:rPr>
              <w:t>a,b,d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5.57 ± 1.29</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348"/>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rPr>
            </w:pPr>
            <w:r w:rsidRPr="00571A5F">
              <w:rPr>
                <w:rFonts w:ascii="Times New Roman" w:hAnsi="Times New Roman" w:cs="Times New Roman"/>
                <w:b/>
                <w:bCs/>
                <w:sz w:val="24"/>
                <w:szCs w:val="24"/>
                <w:lang w:bidi="ar-EG"/>
              </w:rPr>
              <w:t>Serum MDA (nmoL/mL)</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color w:val="000000"/>
                <w:sz w:val="24"/>
                <w:szCs w:val="24"/>
                <w:rtl/>
                <w:lang w:bidi="ar-EG"/>
              </w:rPr>
            </w:pPr>
            <w:r w:rsidRPr="00571A5F">
              <w:rPr>
                <w:rFonts w:ascii="Times New Roman" w:hAnsi="Times New Roman" w:cs="Times New Roman"/>
                <w:color w:val="000000"/>
                <w:sz w:val="24"/>
                <w:szCs w:val="24"/>
              </w:rPr>
              <w:t xml:space="preserve">1.90 </w:t>
            </w:r>
            <w:r w:rsidRPr="00571A5F">
              <w:rPr>
                <w:rFonts w:ascii="Times New Roman" w:hAnsi="Times New Roman" w:cs="Times New Roman"/>
                <w:sz w:val="24"/>
                <w:szCs w:val="24"/>
              </w:rPr>
              <w:t>± 0.40</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3.21 </w:t>
            </w:r>
            <w:r w:rsidRPr="00571A5F">
              <w:rPr>
                <w:rFonts w:ascii="Times New Roman" w:hAnsi="Times New Roman" w:cs="Times New Roman"/>
                <w:sz w:val="24"/>
                <w:szCs w:val="24"/>
              </w:rPr>
              <w:t>± 0.60</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1.26 </w:t>
            </w:r>
            <w:r w:rsidRPr="00571A5F">
              <w:rPr>
                <w:rFonts w:ascii="Times New Roman" w:hAnsi="Times New Roman" w:cs="Times New Roman"/>
                <w:sz w:val="24"/>
                <w:szCs w:val="24"/>
              </w:rPr>
              <w:t>± 0.24</w:t>
            </w:r>
            <w:r w:rsidRPr="00571A5F">
              <w:rPr>
                <w:rFonts w:ascii="Times New Roman" w:hAnsi="Times New Roman" w:cs="Times New Roman"/>
                <w:sz w:val="24"/>
                <w:szCs w:val="24"/>
                <w:vertAlign w:val="superscript"/>
              </w:rPr>
              <w:t>a,b,d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2.73 </w:t>
            </w:r>
            <w:r w:rsidRPr="00571A5F">
              <w:rPr>
                <w:rFonts w:ascii="Times New Roman" w:hAnsi="Times New Roman" w:cs="Times New Roman"/>
                <w:sz w:val="24"/>
                <w:szCs w:val="24"/>
              </w:rPr>
              <w:t>± 0.32</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348"/>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rPr>
            </w:pPr>
            <w:r w:rsidRPr="00571A5F">
              <w:rPr>
                <w:rFonts w:ascii="Times New Roman" w:hAnsi="Times New Roman" w:cs="Times New Roman"/>
                <w:b/>
                <w:bCs/>
                <w:sz w:val="24"/>
                <w:szCs w:val="24"/>
              </w:rPr>
              <w:t xml:space="preserve">CardiacNO </w:t>
            </w:r>
            <w:r w:rsidRPr="00571A5F">
              <w:rPr>
                <w:rFonts w:ascii="Times New Roman" w:hAnsi="Times New Roman" w:cs="Times New Roman"/>
                <w:b/>
                <w:bCs/>
                <w:lang w:bidi="ar-EG"/>
              </w:rPr>
              <w:t>(</w:t>
            </w:r>
            <w:r w:rsidRPr="00571A5F">
              <w:rPr>
                <w:rFonts w:ascii="Times New Roman" w:hAnsi="Times New Roman" w:cs="Times New Roman"/>
                <w:b/>
                <w:bCs/>
              </w:rPr>
              <w:t>μmol/g)</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sz w:val="24"/>
                <w:szCs w:val="24"/>
              </w:rPr>
            </w:pPr>
            <w:r w:rsidRPr="00571A5F">
              <w:rPr>
                <w:rFonts w:ascii="Times New Roman" w:hAnsi="Times New Roman" w:cs="Times New Roman"/>
                <w:sz w:val="24"/>
                <w:szCs w:val="24"/>
              </w:rPr>
              <w:t>12.40 ± 1.74</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6.27 ± 1.24</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20.14 ± 2.23</w:t>
            </w:r>
            <w:r w:rsidRPr="00571A5F">
              <w:rPr>
                <w:rFonts w:ascii="Times New Roman" w:hAnsi="Times New Roman" w:cs="Times New Roman"/>
                <w:sz w:val="24"/>
                <w:szCs w:val="24"/>
                <w:vertAlign w:val="superscript"/>
              </w:rPr>
              <w:t>a,b,d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sz w:val="24"/>
                <w:szCs w:val="24"/>
                <w:vertAlign w:val="superscript"/>
              </w:rPr>
            </w:pPr>
            <w:r w:rsidRPr="00571A5F">
              <w:rPr>
                <w:rFonts w:ascii="Times New Roman" w:hAnsi="Times New Roman" w:cs="Times New Roman"/>
                <w:sz w:val="24"/>
                <w:szCs w:val="24"/>
              </w:rPr>
              <w:t>6.24 ± 1.49</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348"/>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lang w:bidi="ar-EG"/>
              </w:rPr>
            </w:pPr>
            <w:r w:rsidRPr="00571A5F">
              <w:rPr>
                <w:rFonts w:ascii="Times New Roman" w:hAnsi="Times New Roman" w:cs="Times New Roman"/>
                <w:b/>
                <w:bCs/>
                <w:sz w:val="24"/>
                <w:szCs w:val="24"/>
                <w:lang w:bidi="ar-EG"/>
              </w:rPr>
              <w:t>SBP (mmHg)</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color w:val="000000"/>
                <w:sz w:val="24"/>
                <w:szCs w:val="24"/>
              </w:rPr>
            </w:pPr>
            <w:r w:rsidRPr="00571A5F">
              <w:rPr>
                <w:rFonts w:ascii="Times New Roman" w:hAnsi="Times New Roman" w:cs="Times New Roman"/>
                <w:color w:val="000000"/>
                <w:sz w:val="24"/>
                <w:szCs w:val="24"/>
              </w:rPr>
              <w:t xml:space="preserve">116.83 </w:t>
            </w:r>
            <w:r w:rsidRPr="00571A5F">
              <w:rPr>
                <w:rFonts w:ascii="Times New Roman" w:hAnsi="Times New Roman" w:cs="Times New Roman"/>
                <w:sz w:val="24"/>
                <w:szCs w:val="24"/>
              </w:rPr>
              <w:t>± 4.71</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82.17 </w:t>
            </w:r>
            <w:r w:rsidRPr="00571A5F">
              <w:rPr>
                <w:rFonts w:ascii="Times New Roman" w:hAnsi="Times New Roman" w:cs="Times New Roman"/>
                <w:sz w:val="24"/>
                <w:szCs w:val="24"/>
              </w:rPr>
              <w:t>± 5.49</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118 </w:t>
            </w:r>
            <w:r w:rsidRPr="00571A5F">
              <w:rPr>
                <w:rFonts w:ascii="Times New Roman" w:hAnsi="Times New Roman" w:cs="Times New Roman"/>
                <w:sz w:val="24"/>
                <w:szCs w:val="24"/>
              </w:rPr>
              <w:t>± 5.10</w:t>
            </w:r>
            <w:r w:rsidRPr="00571A5F">
              <w:rPr>
                <w:rFonts w:ascii="Times New Roman" w:hAnsi="Times New Roman" w:cs="Times New Roman"/>
                <w:sz w:val="24"/>
                <w:szCs w:val="24"/>
                <w:vertAlign w:val="superscript"/>
              </w:rPr>
              <w:t>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rPr>
            </w:pPr>
            <w:r w:rsidRPr="00571A5F">
              <w:rPr>
                <w:rFonts w:ascii="Times New Roman" w:hAnsi="Times New Roman" w:cs="Times New Roman"/>
                <w:color w:val="000000"/>
                <w:sz w:val="24"/>
                <w:szCs w:val="24"/>
              </w:rPr>
              <w:t xml:space="preserve">85.33 </w:t>
            </w:r>
            <w:r w:rsidRPr="00571A5F">
              <w:rPr>
                <w:rFonts w:ascii="Times New Roman" w:hAnsi="Times New Roman" w:cs="Times New Roman"/>
                <w:sz w:val="24"/>
                <w:szCs w:val="24"/>
              </w:rPr>
              <w:t>± 6.80</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r w:rsidR="00EA1F79" w:rsidRPr="00571A5F" w:rsidTr="00BA6EB4">
        <w:trPr>
          <w:trHeight w:val="348"/>
          <w:jc w:val="center"/>
        </w:trPr>
        <w:tc>
          <w:tcPr>
            <w:tcW w:w="2097" w:type="dxa"/>
            <w:tcBorders>
              <w:top w:val="single" w:sz="6" w:space="0" w:color="auto"/>
              <w:bottom w:val="single" w:sz="6" w:space="0" w:color="auto"/>
              <w:right w:val="thinThickSmallGap" w:sz="12" w:space="0" w:color="auto"/>
            </w:tcBorders>
            <w:shd w:val="clear" w:color="auto" w:fill="D9D9D9" w:themeFill="background1" w:themeFillShade="D9"/>
          </w:tcPr>
          <w:p w:rsidR="00EA1F79" w:rsidRPr="00571A5F" w:rsidRDefault="00EA1F79" w:rsidP="006017EA">
            <w:pPr>
              <w:pStyle w:val="TableParagraph"/>
              <w:spacing w:before="13" w:line="480" w:lineRule="auto"/>
              <w:ind w:left="106"/>
              <w:jc w:val="center"/>
              <w:rPr>
                <w:rFonts w:ascii="Times New Roman" w:hAnsi="Times New Roman" w:cs="Times New Roman"/>
                <w:b/>
                <w:bCs/>
                <w:sz w:val="24"/>
                <w:szCs w:val="24"/>
                <w:lang w:bidi="ar-EG"/>
              </w:rPr>
            </w:pPr>
            <w:r w:rsidRPr="00571A5F">
              <w:rPr>
                <w:rFonts w:ascii="Times New Roman" w:hAnsi="Times New Roman" w:cs="Times New Roman"/>
                <w:b/>
                <w:bCs/>
                <w:sz w:val="24"/>
                <w:szCs w:val="24"/>
                <w:lang w:bidi="ar-EG"/>
              </w:rPr>
              <w:t>DBP (mmHg)</w:t>
            </w:r>
          </w:p>
        </w:tc>
        <w:tc>
          <w:tcPr>
            <w:tcW w:w="1559" w:type="dxa"/>
            <w:tcBorders>
              <w:left w:val="thinThickSmallGap" w:sz="12" w:space="0" w:color="auto"/>
            </w:tcBorders>
            <w:vAlign w:val="center"/>
          </w:tcPr>
          <w:p w:rsidR="00EA1F79" w:rsidRPr="00571A5F" w:rsidRDefault="00EA1F79" w:rsidP="006017EA">
            <w:pPr>
              <w:spacing w:after="0" w:line="480" w:lineRule="auto"/>
              <w:jc w:val="center"/>
              <w:rPr>
                <w:rFonts w:ascii="Times New Roman" w:hAnsi="Times New Roman" w:cs="Times New Roman"/>
                <w:color w:val="000000"/>
                <w:sz w:val="24"/>
                <w:szCs w:val="24"/>
                <w:lang w:bidi="ar-EG"/>
              </w:rPr>
            </w:pPr>
            <w:r w:rsidRPr="00571A5F">
              <w:rPr>
                <w:rFonts w:ascii="Times New Roman" w:hAnsi="Times New Roman" w:cs="Times New Roman"/>
                <w:color w:val="000000"/>
                <w:sz w:val="24"/>
                <w:szCs w:val="24"/>
                <w:lang w:bidi="ar-EG"/>
              </w:rPr>
              <w:t xml:space="preserve">77.83 </w:t>
            </w:r>
            <w:r w:rsidRPr="00571A5F">
              <w:rPr>
                <w:rFonts w:ascii="Times New Roman" w:hAnsi="Times New Roman" w:cs="Times New Roman"/>
                <w:sz w:val="24"/>
                <w:szCs w:val="24"/>
              </w:rPr>
              <w:t>± 4.53</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lang w:bidi="ar-EG"/>
              </w:rPr>
            </w:pPr>
            <w:r w:rsidRPr="00571A5F">
              <w:rPr>
                <w:rFonts w:ascii="Times New Roman" w:hAnsi="Times New Roman" w:cs="Times New Roman"/>
                <w:color w:val="000000"/>
                <w:sz w:val="24"/>
                <w:szCs w:val="24"/>
                <w:lang w:bidi="ar-EG"/>
              </w:rPr>
              <w:t xml:space="preserve">45.67 </w:t>
            </w:r>
            <w:r w:rsidRPr="00571A5F">
              <w:rPr>
                <w:rFonts w:ascii="Times New Roman" w:hAnsi="Times New Roman" w:cs="Times New Roman"/>
                <w:sz w:val="24"/>
                <w:szCs w:val="24"/>
              </w:rPr>
              <w:t>± 6.77</w:t>
            </w:r>
            <w:r w:rsidRPr="00571A5F">
              <w:rPr>
                <w:rFonts w:ascii="Times New Roman" w:hAnsi="Times New Roman" w:cs="Times New Roman"/>
                <w:sz w:val="24"/>
                <w:szCs w:val="24"/>
                <w:vertAlign w:val="superscript"/>
              </w:rPr>
              <w:t>a,c</w:t>
            </w:r>
          </w:p>
        </w:tc>
        <w:tc>
          <w:tcPr>
            <w:tcW w:w="1701"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lang w:bidi="ar-EG"/>
              </w:rPr>
            </w:pPr>
            <w:r w:rsidRPr="00571A5F">
              <w:rPr>
                <w:rFonts w:ascii="Times New Roman" w:hAnsi="Times New Roman" w:cs="Times New Roman"/>
                <w:color w:val="000000"/>
                <w:sz w:val="24"/>
                <w:szCs w:val="24"/>
                <w:lang w:bidi="ar-EG"/>
              </w:rPr>
              <w:t xml:space="preserve">78.67 </w:t>
            </w:r>
            <w:r w:rsidRPr="00571A5F">
              <w:rPr>
                <w:rFonts w:ascii="Times New Roman" w:hAnsi="Times New Roman" w:cs="Times New Roman"/>
                <w:sz w:val="24"/>
                <w:szCs w:val="24"/>
              </w:rPr>
              <w:t>± 2.50</w:t>
            </w:r>
            <w:r w:rsidRPr="00571A5F">
              <w:rPr>
                <w:rFonts w:ascii="Times New Roman" w:hAnsi="Times New Roman" w:cs="Times New Roman"/>
                <w:sz w:val="24"/>
                <w:szCs w:val="24"/>
                <w:vertAlign w:val="superscript"/>
              </w:rPr>
              <w:t>b,d</w:t>
            </w:r>
          </w:p>
        </w:tc>
        <w:tc>
          <w:tcPr>
            <w:tcW w:w="1559" w:type="dxa"/>
            <w:vAlign w:val="center"/>
          </w:tcPr>
          <w:p w:rsidR="00EA1F79" w:rsidRPr="00571A5F" w:rsidRDefault="00EA1F79" w:rsidP="006017EA">
            <w:pPr>
              <w:spacing w:after="0" w:line="480" w:lineRule="auto"/>
              <w:jc w:val="center"/>
              <w:rPr>
                <w:rFonts w:ascii="Times New Roman" w:hAnsi="Times New Roman" w:cs="Times New Roman"/>
                <w:color w:val="000000"/>
                <w:sz w:val="24"/>
                <w:szCs w:val="24"/>
                <w:vertAlign w:val="superscript"/>
                <w:lang w:bidi="ar-EG"/>
              </w:rPr>
            </w:pPr>
            <w:r w:rsidRPr="00571A5F">
              <w:rPr>
                <w:rFonts w:ascii="Times New Roman" w:hAnsi="Times New Roman" w:cs="Times New Roman"/>
                <w:color w:val="000000"/>
                <w:sz w:val="24"/>
                <w:szCs w:val="24"/>
                <w:lang w:bidi="ar-EG"/>
              </w:rPr>
              <w:t xml:space="preserve">43 </w:t>
            </w:r>
            <w:r w:rsidRPr="00571A5F">
              <w:rPr>
                <w:rFonts w:ascii="Times New Roman" w:hAnsi="Times New Roman" w:cs="Times New Roman"/>
                <w:sz w:val="24"/>
                <w:szCs w:val="24"/>
              </w:rPr>
              <w:t>± 5.80</w:t>
            </w:r>
            <w:r w:rsidRPr="00571A5F">
              <w:rPr>
                <w:rFonts w:ascii="Times New Roman" w:hAnsi="Times New Roman" w:cs="Times New Roman"/>
                <w:sz w:val="24"/>
                <w:szCs w:val="24"/>
                <w:vertAlign w:val="superscript"/>
              </w:rPr>
              <w:t>a,c</w:t>
            </w:r>
          </w:p>
        </w:tc>
        <w:tc>
          <w:tcPr>
            <w:tcW w:w="1215" w:type="dxa"/>
          </w:tcPr>
          <w:p w:rsidR="00EA1F79" w:rsidRPr="00571A5F" w:rsidRDefault="00EA1F79" w:rsidP="006017EA">
            <w:pPr>
              <w:spacing w:line="480" w:lineRule="auto"/>
              <w:jc w:val="center"/>
            </w:pPr>
            <w:r w:rsidRPr="00571A5F">
              <w:rPr>
                <w:rFonts w:ascii="Times New Roman" w:hAnsi="Times New Roman" w:cs="Times New Roman"/>
                <w:sz w:val="24"/>
                <w:szCs w:val="24"/>
                <w:lang w:bidi="ar-EG"/>
              </w:rPr>
              <w:t>&lt; 0.05</w:t>
            </w:r>
          </w:p>
        </w:tc>
      </w:tr>
    </w:tbl>
    <w:p w:rsidR="00BE1C07" w:rsidRPr="00571A5F" w:rsidRDefault="00BE1C07" w:rsidP="00571A5F">
      <w:pPr>
        <w:bidi w:val="0"/>
        <w:contextualSpacing/>
        <w:jc w:val="both"/>
        <w:rPr>
          <w:rFonts w:asciiTheme="majorBidi" w:hAnsiTheme="majorBidi" w:cstheme="majorBidi"/>
          <w:sz w:val="24"/>
          <w:szCs w:val="24"/>
        </w:rPr>
      </w:pPr>
      <w:r w:rsidRPr="00571A5F">
        <w:rPr>
          <w:rFonts w:asciiTheme="majorBidi" w:hAnsiTheme="majorBidi" w:cstheme="majorBidi"/>
          <w:sz w:val="24"/>
          <w:szCs w:val="24"/>
        </w:rPr>
        <w:t>Data are represented as Mean ± SD:</w:t>
      </w:r>
    </w:p>
    <w:p w:rsidR="00BE1C07" w:rsidRPr="00571A5F" w:rsidRDefault="00BE1C07" w:rsidP="00571A5F">
      <w:pPr>
        <w:bidi w:val="0"/>
        <w:contextualSpacing/>
        <w:jc w:val="both"/>
        <w:rPr>
          <w:rFonts w:asciiTheme="majorBidi" w:hAnsiTheme="majorBidi" w:cstheme="majorBidi"/>
          <w:sz w:val="36"/>
          <w:szCs w:val="36"/>
          <w:lang w:bidi="ar-EG"/>
        </w:rPr>
      </w:pPr>
      <w:r w:rsidRPr="00571A5F">
        <w:rPr>
          <w:rFonts w:asciiTheme="majorBidi" w:hAnsiTheme="majorBidi" w:cstheme="majorBidi"/>
          <w:sz w:val="24"/>
          <w:szCs w:val="24"/>
          <w:vertAlign w:val="superscript"/>
        </w:rPr>
        <w:t>a</w:t>
      </w:r>
      <w:r w:rsidRPr="00571A5F">
        <w:rPr>
          <w:rFonts w:asciiTheme="majorBidi" w:hAnsiTheme="majorBidi" w:cstheme="majorBidi"/>
          <w:sz w:val="24"/>
          <w:szCs w:val="24"/>
        </w:rPr>
        <w:t>sig from Group I</w:t>
      </w:r>
      <w:r w:rsidRPr="00571A5F">
        <w:rPr>
          <w:rFonts w:asciiTheme="majorBidi" w:hAnsiTheme="majorBidi" w:cstheme="majorBidi"/>
          <w:sz w:val="36"/>
          <w:szCs w:val="36"/>
        </w:rPr>
        <w:t xml:space="preserve"> </w:t>
      </w:r>
      <w:r w:rsidRPr="00571A5F">
        <w:rPr>
          <w:rFonts w:asciiTheme="majorBidi" w:hAnsiTheme="majorBidi" w:cstheme="majorBidi"/>
          <w:sz w:val="24"/>
          <w:szCs w:val="24"/>
        </w:rPr>
        <w:t>-</w:t>
      </w:r>
      <w:r w:rsidRPr="00571A5F">
        <w:rPr>
          <w:rFonts w:asciiTheme="majorBidi" w:hAnsiTheme="majorBidi" w:cstheme="majorBidi"/>
          <w:sz w:val="36"/>
          <w:szCs w:val="36"/>
        </w:rPr>
        <w:t xml:space="preserve"> </w:t>
      </w:r>
      <w:r w:rsidRPr="00571A5F">
        <w:rPr>
          <w:rFonts w:asciiTheme="majorBidi" w:hAnsiTheme="majorBidi" w:cstheme="majorBidi"/>
          <w:sz w:val="24"/>
          <w:szCs w:val="24"/>
          <w:vertAlign w:val="superscript"/>
        </w:rPr>
        <w:t>b</w:t>
      </w:r>
      <w:r w:rsidRPr="00571A5F">
        <w:rPr>
          <w:rFonts w:asciiTheme="majorBidi" w:hAnsiTheme="majorBidi" w:cstheme="majorBidi"/>
          <w:sz w:val="24"/>
          <w:szCs w:val="24"/>
        </w:rPr>
        <w:t xml:space="preserve">sig from Group II - </w:t>
      </w:r>
      <w:r w:rsidRPr="00571A5F">
        <w:rPr>
          <w:rFonts w:asciiTheme="majorBidi" w:hAnsiTheme="majorBidi" w:cstheme="majorBidi"/>
          <w:sz w:val="24"/>
          <w:szCs w:val="24"/>
          <w:vertAlign w:val="superscript"/>
        </w:rPr>
        <w:t>c</w:t>
      </w:r>
      <w:r w:rsidRPr="00571A5F">
        <w:rPr>
          <w:rFonts w:asciiTheme="majorBidi" w:hAnsiTheme="majorBidi" w:cstheme="majorBidi"/>
          <w:sz w:val="24"/>
          <w:szCs w:val="24"/>
        </w:rPr>
        <w:t xml:space="preserve">sig from Group III - </w:t>
      </w:r>
      <w:r w:rsidRPr="00571A5F">
        <w:rPr>
          <w:rFonts w:asciiTheme="majorBidi" w:hAnsiTheme="majorBidi" w:cstheme="majorBidi"/>
          <w:sz w:val="24"/>
          <w:szCs w:val="24"/>
          <w:vertAlign w:val="superscript"/>
        </w:rPr>
        <w:t>d</w:t>
      </w:r>
      <w:r w:rsidRPr="00571A5F">
        <w:rPr>
          <w:rFonts w:asciiTheme="majorBidi" w:hAnsiTheme="majorBidi" w:cstheme="majorBidi"/>
          <w:sz w:val="24"/>
          <w:szCs w:val="24"/>
        </w:rPr>
        <w:t>sig from Group IV</w:t>
      </w:r>
    </w:p>
    <w:p w:rsidR="00BE1C07" w:rsidRPr="00571A5F" w:rsidRDefault="00BE1C07" w:rsidP="00571A5F">
      <w:pPr>
        <w:bidi w:val="0"/>
        <w:contextualSpacing/>
        <w:jc w:val="both"/>
        <w:rPr>
          <w:rFonts w:asciiTheme="majorBidi" w:hAnsiTheme="majorBidi" w:cstheme="majorBidi"/>
          <w:sz w:val="24"/>
          <w:szCs w:val="24"/>
        </w:rPr>
      </w:pPr>
      <w:r w:rsidRPr="00571A5F">
        <w:rPr>
          <w:sz w:val="24"/>
          <w:szCs w:val="24"/>
        </w:rPr>
        <w:t xml:space="preserve">- </w:t>
      </w:r>
      <w:r w:rsidRPr="00571A5F">
        <w:rPr>
          <w:rFonts w:asciiTheme="majorBidi" w:hAnsiTheme="majorBidi" w:cstheme="majorBidi"/>
          <w:sz w:val="24"/>
          <w:szCs w:val="24"/>
        </w:rPr>
        <w:t>P value &lt; 0.05 was considered statistically significant</w:t>
      </w:r>
    </w:p>
    <w:p w:rsidR="00BE1C07" w:rsidRPr="00571A5F" w:rsidRDefault="00BE1C07" w:rsidP="00571A5F">
      <w:pPr>
        <w:bidi w:val="0"/>
        <w:contextualSpacing/>
        <w:jc w:val="both"/>
        <w:rPr>
          <w:rFonts w:asciiTheme="majorBidi" w:hAnsiTheme="majorBidi" w:cstheme="majorBidi"/>
          <w:sz w:val="24"/>
          <w:szCs w:val="24"/>
          <w:lang w:bidi="ar-EG"/>
        </w:rPr>
      </w:pPr>
      <w:r w:rsidRPr="00571A5F">
        <w:rPr>
          <w:rFonts w:asciiTheme="majorBidi" w:hAnsiTheme="majorBidi" w:cstheme="majorBidi"/>
          <w:sz w:val="24"/>
          <w:szCs w:val="24"/>
        </w:rPr>
        <w:t>- P value &gt;</w:t>
      </w:r>
      <w:r w:rsidR="00BA6EB4" w:rsidRPr="00571A5F">
        <w:rPr>
          <w:rFonts w:asciiTheme="majorBidi" w:hAnsiTheme="majorBidi" w:cstheme="majorBidi"/>
          <w:sz w:val="24"/>
          <w:szCs w:val="24"/>
        </w:rPr>
        <w:t xml:space="preserve"> </w:t>
      </w:r>
      <w:r w:rsidRPr="00571A5F">
        <w:rPr>
          <w:rFonts w:asciiTheme="majorBidi" w:hAnsiTheme="majorBidi" w:cstheme="majorBidi"/>
          <w:sz w:val="24"/>
          <w:szCs w:val="24"/>
        </w:rPr>
        <w:t>0.05 was considered statistically insignificant</w:t>
      </w:r>
    </w:p>
    <w:p w:rsidR="00764592" w:rsidRDefault="00764592" w:rsidP="00571A5F">
      <w:pPr>
        <w:bidi w:val="0"/>
        <w:contextualSpacing/>
        <w:jc w:val="both"/>
        <w:rPr>
          <w:rFonts w:asciiTheme="majorBidi" w:hAnsiTheme="majorBidi" w:cstheme="majorBidi"/>
          <w:lang w:bidi="ar-EG"/>
        </w:rPr>
      </w:pPr>
      <w:r w:rsidRPr="00571A5F">
        <w:rPr>
          <w:rFonts w:asciiTheme="majorBidi" w:hAnsiTheme="majorBidi" w:cstheme="majorBidi"/>
        </w:rPr>
        <w:t>ST segment amplitude (m.v), heart rate (cycle</w:t>
      </w:r>
      <w:r w:rsidRPr="00571A5F">
        <w:rPr>
          <w:rFonts w:asciiTheme="majorBidi" w:hAnsiTheme="majorBidi" w:cstheme="majorBidi"/>
          <w:i/>
        </w:rPr>
        <w:t xml:space="preserve">/ </w:t>
      </w:r>
      <w:r w:rsidRPr="00571A5F">
        <w:rPr>
          <w:rFonts w:asciiTheme="majorBidi" w:hAnsiTheme="majorBidi" w:cstheme="majorBidi"/>
        </w:rPr>
        <w:t>min)}, levels of serum CK-MB (U</w:t>
      </w:r>
      <w:r w:rsidRPr="00571A5F">
        <w:rPr>
          <w:rFonts w:asciiTheme="majorBidi" w:hAnsiTheme="majorBidi" w:cstheme="majorBidi"/>
          <w:i/>
        </w:rPr>
        <w:t>/</w:t>
      </w:r>
      <w:r w:rsidRPr="00571A5F">
        <w:rPr>
          <w:rFonts w:asciiTheme="majorBidi" w:hAnsiTheme="majorBidi" w:cstheme="majorBidi"/>
        </w:rPr>
        <w:t xml:space="preserve">L), serum LDH(μ/U), </w:t>
      </w:r>
      <w:r w:rsidRPr="00571A5F">
        <w:rPr>
          <w:rFonts w:asciiTheme="majorBidi" w:hAnsiTheme="majorBidi" w:cstheme="majorBidi"/>
          <w:lang w:bidi="ar-EG"/>
        </w:rPr>
        <w:t>serum SOD (U/mL), serum MDA (nmoL/mL)</w:t>
      </w:r>
      <w:r w:rsidRPr="00571A5F">
        <w:rPr>
          <w:rFonts w:asciiTheme="majorBidi" w:hAnsiTheme="majorBidi" w:cstheme="majorBidi"/>
        </w:rPr>
        <w:t xml:space="preserve">, cardiac NO </w:t>
      </w:r>
      <w:r w:rsidRPr="00571A5F">
        <w:rPr>
          <w:rFonts w:asciiTheme="majorBidi" w:hAnsiTheme="majorBidi" w:cstheme="majorBidi"/>
          <w:lang w:bidi="ar-EG"/>
        </w:rPr>
        <w:t>(</w:t>
      </w:r>
      <w:r w:rsidRPr="00571A5F">
        <w:rPr>
          <w:rFonts w:asciiTheme="majorBidi" w:hAnsiTheme="majorBidi" w:cstheme="majorBidi"/>
        </w:rPr>
        <w:t xml:space="preserve">μmol/g), </w:t>
      </w:r>
      <w:r w:rsidR="00622B44" w:rsidRPr="00571A5F">
        <w:rPr>
          <w:rFonts w:asciiTheme="majorBidi" w:hAnsiTheme="majorBidi" w:cstheme="majorBidi"/>
          <w:lang w:bidi="ar-EG"/>
        </w:rPr>
        <w:t>SBP (mmHg) and DBP (mmHg).</w:t>
      </w:r>
    </w:p>
    <w:p w:rsidR="00571A5F" w:rsidRPr="00571A5F" w:rsidRDefault="00571A5F" w:rsidP="00571A5F">
      <w:pPr>
        <w:bidi w:val="0"/>
        <w:contextualSpacing/>
        <w:jc w:val="both"/>
        <w:rPr>
          <w:rFonts w:asciiTheme="majorBidi" w:hAnsiTheme="majorBidi" w:cstheme="majorBidi"/>
          <w:lang w:bidi="ar-EG"/>
        </w:rPr>
      </w:pPr>
    </w:p>
    <w:p w:rsidR="009149C2" w:rsidRPr="00571A5F" w:rsidRDefault="00BE1C07" w:rsidP="00571A5F">
      <w:pPr>
        <w:bidi w:val="0"/>
        <w:spacing w:line="360" w:lineRule="auto"/>
        <w:contextualSpacing/>
        <w:jc w:val="both"/>
        <w:rPr>
          <w:rFonts w:asciiTheme="majorBidi" w:hAnsiTheme="majorBidi" w:cstheme="majorBidi"/>
          <w:b/>
          <w:bCs/>
          <w:sz w:val="28"/>
          <w:szCs w:val="28"/>
          <w:lang w:bidi="ar-EG"/>
        </w:rPr>
      </w:pPr>
      <w:r w:rsidRPr="00571A5F">
        <w:rPr>
          <w:rFonts w:asciiTheme="majorBidi" w:hAnsiTheme="majorBidi" w:cstheme="majorBidi"/>
          <w:b/>
          <w:bCs/>
          <w:sz w:val="28"/>
          <w:szCs w:val="28"/>
          <w:lang w:bidi="ar-EG"/>
        </w:rPr>
        <w:t>4. DISCUSSION:</w:t>
      </w:r>
    </w:p>
    <w:p w:rsidR="009149C2" w:rsidRPr="00571A5F" w:rsidRDefault="009149C2" w:rsidP="00571A5F">
      <w:pPr>
        <w:bidi w:val="0"/>
        <w:spacing w:line="360" w:lineRule="auto"/>
        <w:ind w:firstLine="720"/>
        <w:contextualSpacing/>
        <w:jc w:val="both"/>
        <w:rPr>
          <w:rFonts w:asciiTheme="majorBidi" w:hAnsiTheme="majorBidi" w:cstheme="majorBidi"/>
          <w:sz w:val="28"/>
          <w:szCs w:val="28"/>
        </w:rPr>
      </w:pPr>
      <w:r w:rsidRPr="00571A5F">
        <w:rPr>
          <w:rFonts w:asciiTheme="majorBidi" w:hAnsiTheme="majorBidi" w:cstheme="majorBidi"/>
          <w:sz w:val="28"/>
          <w:szCs w:val="28"/>
        </w:rPr>
        <w:t xml:space="preserve">In spite of the accumulating data about </w:t>
      </w:r>
      <w:r w:rsidR="00350CD0" w:rsidRPr="00350CD0">
        <w:rPr>
          <w:rFonts w:asciiTheme="majorBidi" w:hAnsiTheme="majorBidi" w:cstheme="majorBidi"/>
          <w:sz w:val="28"/>
          <w:szCs w:val="28"/>
        </w:rPr>
        <w:t>doxorubicin induced cardiac toxicity</w:t>
      </w:r>
      <w:r w:rsidRPr="00350CD0">
        <w:rPr>
          <w:rFonts w:asciiTheme="majorBidi" w:hAnsiTheme="majorBidi" w:cstheme="majorBidi"/>
          <w:sz w:val="28"/>
          <w:szCs w:val="28"/>
        </w:rPr>
        <w:t xml:space="preserve"> </w:t>
      </w:r>
      <w:r w:rsidR="00350CD0">
        <w:rPr>
          <w:rFonts w:asciiTheme="majorBidi" w:hAnsiTheme="majorBidi" w:cstheme="majorBidi"/>
          <w:sz w:val="28"/>
          <w:szCs w:val="28"/>
        </w:rPr>
        <w:t xml:space="preserve">(DIC) </w:t>
      </w:r>
      <w:r w:rsidRPr="00571A5F">
        <w:rPr>
          <w:rFonts w:asciiTheme="majorBidi" w:hAnsiTheme="majorBidi" w:cstheme="majorBidi"/>
          <w:sz w:val="28"/>
          <w:szCs w:val="28"/>
        </w:rPr>
        <w:t>the prophylactic role of STG in the DIC has to be established. Hence, this study was designed to detect the effect of STG on a rat model of DIC targeting the role of eNOS.</w:t>
      </w:r>
    </w:p>
    <w:p w:rsidR="009149C2" w:rsidRPr="00571A5F" w:rsidRDefault="009149C2" w:rsidP="00571A5F">
      <w:pPr>
        <w:bidi w:val="0"/>
        <w:spacing w:line="360" w:lineRule="auto"/>
        <w:ind w:firstLine="720"/>
        <w:contextualSpacing/>
        <w:jc w:val="both"/>
        <w:rPr>
          <w:rFonts w:asciiTheme="majorBidi" w:hAnsiTheme="majorBidi" w:cstheme="majorBidi"/>
          <w:b/>
          <w:bCs/>
          <w:sz w:val="32"/>
          <w:szCs w:val="32"/>
          <w:lang w:bidi="ar-EG"/>
        </w:rPr>
      </w:pPr>
      <w:r w:rsidRPr="00571A5F">
        <w:rPr>
          <w:rFonts w:asciiTheme="majorBidi" w:hAnsiTheme="majorBidi" w:cstheme="majorBidi"/>
          <w:color w:val="000000"/>
          <w:sz w:val="28"/>
          <w:szCs w:val="28"/>
        </w:rPr>
        <w:t>The data of the present work revealed that, with respect to the control group, DOX injection yield to signifi</w:t>
      </w:r>
      <w:r w:rsidR="006C3AAE" w:rsidRPr="00571A5F">
        <w:rPr>
          <w:rFonts w:asciiTheme="majorBidi" w:hAnsiTheme="majorBidi" w:cstheme="majorBidi"/>
          <w:color w:val="000000"/>
          <w:sz w:val="28"/>
          <w:szCs w:val="28"/>
        </w:rPr>
        <w:t>can</w:t>
      </w:r>
      <w:r w:rsidR="00F274D6" w:rsidRPr="00571A5F">
        <w:rPr>
          <w:rFonts w:asciiTheme="majorBidi" w:hAnsiTheme="majorBidi" w:cstheme="majorBidi"/>
          <w:color w:val="000000"/>
          <w:sz w:val="28"/>
          <w:szCs w:val="28"/>
        </w:rPr>
        <w:t xml:space="preserve">t changes in the ECG </w:t>
      </w:r>
      <w:r w:rsidRPr="00571A5F">
        <w:rPr>
          <w:rFonts w:asciiTheme="majorBidi" w:hAnsiTheme="majorBidi" w:cstheme="majorBidi"/>
          <w:color w:val="000000"/>
          <w:sz w:val="28"/>
          <w:szCs w:val="28"/>
        </w:rPr>
        <w:t>presented by elevated ST segmen</w:t>
      </w:r>
      <w:r w:rsidR="00F274D6" w:rsidRPr="00571A5F">
        <w:rPr>
          <w:rFonts w:asciiTheme="majorBidi" w:hAnsiTheme="majorBidi" w:cstheme="majorBidi"/>
          <w:color w:val="000000"/>
          <w:sz w:val="28"/>
          <w:szCs w:val="28"/>
        </w:rPr>
        <w:t xml:space="preserve">t </w:t>
      </w:r>
      <w:r w:rsidRPr="00571A5F">
        <w:rPr>
          <w:rFonts w:asciiTheme="majorBidi" w:hAnsiTheme="majorBidi" w:cstheme="majorBidi"/>
          <w:color w:val="000000"/>
          <w:sz w:val="28"/>
          <w:szCs w:val="28"/>
        </w:rPr>
        <w:t xml:space="preserve"> in addition to significant decrease </w:t>
      </w:r>
      <w:r w:rsidR="006C3AAE" w:rsidRPr="00571A5F">
        <w:rPr>
          <w:rFonts w:asciiTheme="majorBidi" w:hAnsiTheme="majorBidi" w:cstheme="majorBidi"/>
          <w:color w:val="000000"/>
          <w:sz w:val="28"/>
          <w:szCs w:val="28"/>
        </w:rPr>
        <w:t>in heart rate (P&lt;0.05)</w:t>
      </w:r>
      <w:r w:rsidRPr="00571A5F">
        <w:rPr>
          <w:rFonts w:asciiTheme="majorBidi" w:hAnsiTheme="majorBidi" w:cstheme="majorBidi"/>
          <w:color w:val="000000"/>
          <w:sz w:val="28"/>
          <w:szCs w:val="28"/>
        </w:rPr>
        <w:t xml:space="preserve"> with significant increases in serum CK-MB and LDH levels (P&lt;0.05) </w:t>
      </w:r>
      <w:r w:rsidR="006C3AAE" w:rsidRPr="00571A5F">
        <w:rPr>
          <w:rFonts w:asciiTheme="majorBidi" w:hAnsiTheme="majorBidi" w:cstheme="majorBidi"/>
          <w:color w:val="000000"/>
          <w:sz w:val="28"/>
          <w:szCs w:val="28"/>
        </w:rPr>
        <w:t>as seen in (Table 1</w:t>
      </w:r>
      <w:r w:rsidRPr="00571A5F">
        <w:rPr>
          <w:rFonts w:asciiTheme="majorBidi" w:hAnsiTheme="majorBidi" w:cstheme="majorBidi"/>
          <w:color w:val="000000"/>
          <w:sz w:val="28"/>
          <w:szCs w:val="28"/>
        </w:rPr>
        <w:t xml:space="preserve">). </w:t>
      </w:r>
      <w:r w:rsidR="00957D52" w:rsidRPr="00571A5F">
        <w:rPr>
          <w:rFonts w:asciiTheme="majorBidi" w:hAnsiTheme="majorBidi" w:cstheme="majorBidi"/>
          <w:sz w:val="28"/>
          <w:szCs w:val="28"/>
        </w:rPr>
        <w:t>This was</w:t>
      </w:r>
      <w:r w:rsidRPr="00571A5F">
        <w:rPr>
          <w:rFonts w:asciiTheme="majorBidi" w:hAnsiTheme="majorBidi" w:cstheme="majorBidi"/>
          <w:sz w:val="28"/>
          <w:szCs w:val="28"/>
        </w:rPr>
        <w:t xml:space="preserve"> in agreement with </w:t>
      </w:r>
      <w:bookmarkStart w:id="20" w:name="OLE_LINK10"/>
      <w:bookmarkStart w:id="21" w:name="OLE_LINK11"/>
      <w:r w:rsidR="001708EB" w:rsidRPr="00571A5F">
        <w:rPr>
          <w:rFonts w:asciiTheme="majorBidi" w:hAnsiTheme="majorBidi" w:cstheme="majorBidi"/>
          <w:b/>
          <w:bCs/>
          <w:sz w:val="28"/>
          <w:szCs w:val="28"/>
          <w:shd w:val="clear" w:color="auto" w:fill="FFFFFF"/>
        </w:rPr>
        <w:t>(9</w:t>
      </w:r>
      <w:r w:rsidRPr="00571A5F">
        <w:rPr>
          <w:rFonts w:asciiTheme="majorBidi" w:hAnsiTheme="majorBidi" w:cstheme="majorBidi"/>
          <w:b/>
          <w:bCs/>
          <w:sz w:val="28"/>
          <w:szCs w:val="28"/>
          <w:shd w:val="clear" w:color="auto" w:fill="FFFFFF"/>
        </w:rPr>
        <w:t xml:space="preserve">) </w:t>
      </w:r>
      <w:r w:rsidRPr="00571A5F">
        <w:rPr>
          <w:rFonts w:asciiTheme="majorBidi" w:hAnsiTheme="majorBidi" w:cstheme="majorBidi"/>
          <w:sz w:val="28"/>
          <w:szCs w:val="28"/>
        </w:rPr>
        <w:t xml:space="preserve">who </w:t>
      </w:r>
      <w:bookmarkEnd w:id="20"/>
      <w:bookmarkEnd w:id="21"/>
      <w:r w:rsidRPr="00571A5F">
        <w:rPr>
          <w:rFonts w:asciiTheme="majorBidi" w:hAnsiTheme="majorBidi" w:cstheme="majorBidi"/>
          <w:sz w:val="28"/>
          <w:szCs w:val="28"/>
        </w:rPr>
        <w:t>reported that DIC was attributed to elevate ST segment, decrease heart rate and increase in serum CK-MB and LDH levels. Moreover, it decreases O2 saturation</w:t>
      </w:r>
      <w:r w:rsidRPr="00571A5F">
        <w:rPr>
          <w:rFonts w:asciiTheme="majorBidi" w:hAnsiTheme="majorBidi" w:cstheme="majorBidi"/>
          <w:b/>
          <w:bCs/>
          <w:sz w:val="28"/>
          <w:szCs w:val="28"/>
        </w:rPr>
        <w:t xml:space="preserve"> </w:t>
      </w:r>
      <w:r w:rsidRPr="00571A5F">
        <w:rPr>
          <w:rFonts w:asciiTheme="majorBidi" w:hAnsiTheme="majorBidi" w:cstheme="majorBidi"/>
          <w:sz w:val="28"/>
          <w:szCs w:val="28"/>
        </w:rPr>
        <w:t>leading to hypoxia, ischemia and necrosis of myocardium with releasing of cardiac myocytes intracellular content to the extracellular</w:t>
      </w:r>
      <w:r w:rsidR="00350CD0">
        <w:rPr>
          <w:rFonts w:asciiTheme="majorBidi" w:hAnsiTheme="majorBidi" w:cstheme="majorBidi"/>
          <w:sz w:val="28"/>
          <w:szCs w:val="28"/>
        </w:rPr>
        <w:t xml:space="preserve"> fluids including CK-MB and LDH. </w:t>
      </w:r>
      <w:r w:rsidRPr="00571A5F">
        <w:rPr>
          <w:rFonts w:asciiTheme="majorBidi" w:hAnsiTheme="majorBidi" w:cstheme="majorBidi"/>
          <w:sz w:val="28"/>
          <w:szCs w:val="28"/>
        </w:rPr>
        <w:t>Collectively, all these factors led to profound ECG changes and rise of serum CK-MB and LDH levels and extensive cardiac injury.</w:t>
      </w:r>
    </w:p>
    <w:p w:rsidR="009149C2" w:rsidRPr="00850E5D" w:rsidRDefault="009149C2" w:rsidP="00850E5D">
      <w:pPr>
        <w:bidi w:val="0"/>
        <w:spacing w:line="360" w:lineRule="auto"/>
        <w:ind w:firstLine="720"/>
        <w:jc w:val="both"/>
        <w:rPr>
          <w:rFonts w:asciiTheme="majorBidi" w:hAnsiTheme="majorBidi" w:cstheme="majorBidi"/>
          <w:sz w:val="28"/>
          <w:szCs w:val="28"/>
        </w:rPr>
      </w:pPr>
      <w:r w:rsidRPr="00850E5D">
        <w:rPr>
          <w:rFonts w:asciiTheme="majorBidi" w:hAnsiTheme="majorBidi" w:cstheme="majorBidi"/>
          <w:sz w:val="28"/>
          <w:szCs w:val="28"/>
        </w:rPr>
        <w:t xml:space="preserve">The DPP-4 inhibitor, STG, is a widely used medication for treatment of type 2 diabetes mellitus </w:t>
      </w:r>
      <w:r w:rsidR="001708EB" w:rsidRPr="00850E5D">
        <w:rPr>
          <w:rFonts w:asciiTheme="majorBidi" w:hAnsiTheme="majorBidi" w:cstheme="majorBidi"/>
          <w:b/>
          <w:bCs/>
          <w:sz w:val="28"/>
          <w:szCs w:val="28"/>
        </w:rPr>
        <w:t>(10</w:t>
      </w:r>
      <w:r w:rsidRPr="00850E5D">
        <w:rPr>
          <w:rFonts w:asciiTheme="majorBidi" w:hAnsiTheme="majorBidi" w:cstheme="majorBidi"/>
          <w:b/>
          <w:bCs/>
          <w:sz w:val="28"/>
          <w:szCs w:val="28"/>
        </w:rPr>
        <w:t xml:space="preserve">). </w:t>
      </w:r>
      <w:r w:rsidRPr="00850E5D">
        <w:rPr>
          <w:rFonts w:asciiTheme="majorBidi" w:hAnsiTheme="majorBidi" w:cstheme="majorBidi"/>
          <w:sz w:val="28"/>
          <w:szCs w:val="28"/>
        </w:rPr>
        <w:t xml:space="preserve">However, its prophylactic role against DIC is still a matter </w:t>
      </w:r>
      <w:r w:rsidR="00350CD0" w:rsidRPr="00850E5D">
        <w:rPr>
          <w:rFonts w:asciiTheme="majorBidi" w:hAnsiTheme="majorBidi" w:cstheme="majorBidi"/>
          <w:sz w:val="28"/>
          <w:szCs w:val="28"/>
        </w:rPr>
        <w:t>of debate. W</w:t>
      </w:r>
      <w:r w:rsidRPr="00850E5D">
        <w:rPr>
          <w:rFonts w:asciiTheme="majorBidi" w:hAnsiTheme="majorBidi" w:cstheme="majorBidi"/>
          <w:sz w:val="28"/>
          <w:szCs w:val="28"/>
        </w:rPr>
        <w:t>hen STG was supplemented with DOX for 3 weeks</w:t>
      </w:r>
      <w:r w:rsidR="00350CD0" w:rsidRPr="00850E5D">
        <w:rPr>
          <w:rFonts w:asciiTheme="majorBidi" w:hAnsiTheme="majorBidi" w:cstheme="majorBidi"/>
          <w:sz w:val="28"/>
          <w:szCs w:val="28"/>
        </w:rPr>
        <w:t xml:space="preserve"> in our study</w:t>
      </w:r>
      <w:r w:rsidRPr="00850E5D">
        <w:rPr>
          <w:rFonts w:asciiTheme="majorBidi" w:hAnsiTheme="majorBidi" w:cstheme="majorBidi"/>
          <w:sz w:val="28"/>
          <w:szCs w:val="28"/>
        </w:rPr>
        <w:t>,</w:t>
      </w:r>
      <w:r w:rsidRPr="00850E5D">
        <w:rPr>
          <w:rFonts w:asciiTheme="majorBidi" w:hAnsiTheme="majorBidi" w:cstheme="majorBidi"/>
          <w:sz w:val="28"/>
          <w:szCs w:val="28"/>
          <w:rtl/>
        </w:rPr>
        <w:t xml:space="preserve"> </w:t>
      </w:r>
      <w:r w:rsidRPr="00850E5D">
        <w:rPr>
          <w:rFonts w:asciiTheme="majorBidi" w:hAnsiTheme="majorBidi" w:cstheme="majorBidi"/>
          <w:sz w:val="28"/>
          <w:szCs w:val="28"/>
        </w:rPr>
        <w:t>it</w:t>
      </w:r>
      <w:r w:rsidR="00850E5D" w:rsidRPr="00850E5D">
        <w:rPr>
          <w:rFonts w:asciiTheme="majorBidi" w:hAnsiTheme="majorBidi" w:cstheme="majorBidi"/>
          <w:sz w:val="28"/>
          <w:szCs w:val="28"/>
        </w:rPr>
        <w:t xml:space="preserve"> had</w:t>
      </w:r>
      <w:r w:rsidRPr="00850E5D">
        <w:rPr>
          <w:rFonts w:asciiTheme="majorBidi" w:hAnsiTheme="majorBidi" w:cstheme="majorBidi"/>
          <w:sz w:val="28"/>
          <w:szCs w:val="28"/>
        </w:rPr>
        <w:t xml:space="preserve"> restored the normal ECG patter</w:t>
      </w:r>
      <w:r w:rsidR="00F274D6" w:rsidRPr="00850E5D">
        <w:rPr>
          <w:rFonts w:asciiTheme="majorBidi" w:hAnsiTheme="majorBidi" w:cstheme="majorBidi"/>
          <w:sz w:val="28"/>
          <w:szCs w:val="28"/>
        </w:rPr>
        <w:t>n</w:t>
      </w:r>
      <w:r w:rsidRPr="00850E5D">
        <w:rPr>
          <w:rFonts w:asciiTheme="majorBidi" w:hAnsiTheme="majorBidi" w:cstheme="majorBidi"/>
          <w:sz w:val="28"/>
          <w:szCs w:val="28"/>
        </w:rPr>
        <w:t xml:space="preserve"> with significant increases in heart rate up to the control values (368.33 ± 43.55) when compared to the DOX group (205 ± </w:t>
      </w:r>
      <w:r w:rsidR="00350CD0" w:rsidRPr="00850E5D">
        <w:rPr>
          <w:rFonts w:asciiTheme="majorBidi" w:hAnsiTheme="majorBidi" w:cstheme="majorBidi"/>
          <w:sz w:val="28"/>
          <w:szCs w:val="28"/>
        </w:rPr>
        <w:t>23.24) as</w:t>
      </w:r>
      <w:r w:rsidRPr="00850E5D">
        <w:rPr>
          <w:rFonts w:asciiTheme="majorBidi" w:hAnsiTheme="majorBidi" w:cstheme="majorBidi"/>
          <w:sz w:val="28"/>
          <w:szCs w:val="28"/>
        </w:rPr>
        <w:t xml:space="preserve"> and significant decreases in serum CK-MB and LDH levels (317 ± 31.16) an</w:t>
      </w:r>
      <w:r w:rsidR="00350CD0" w:rsidRPr="00850E5D">
        <w:rPr>
          <w:rFonts w:asciiTheme="majorBidi" w:hAnsiTheme="majorBidi" w:cstheme="majorBidi"/>
          <w:sz w:val="28"/>
          <w:szCs w:val="28"/>
        </w:rPr>
        <w:t>d (201.17 ± 18.50) respectively</w:t>
      </w:r>
      <w:r w:rsidR="006C3AAE" w:rsidRPr="00850E5D">
        <w:rPr>
          <w:rFonts w:asciiTheme="majorBidi" w:hAnsiTheme="majorBidi" w:cstheme="majorBidi"/>
          <w:sz w:val="28"/>
          <w:szCs w:val="28"/>
        </w:rPr>
        <w:t xml:space="preserve"> </w:t>
      </w:r>
      <w:bookmarkStart w:id="22" w:name="OLE_LINK1"/>
      <w:bookmarkStart w:id="23" w:name="OLE_LINK2"/>
      <w:r w:rsidRPr="00850E5D">
        <w:rPr>
          <w:rFonts w:asciiTheme="majorBidi" w:hAnsiTheme="majorBidi" w:cstheme="majorBidi"/>
          <w:sz w:val="28"/>
          <w:szCs w:val="28"/>
        </w:rPr>
        <w:t>when compared to the DOX group</w:t>
      </w:r>
      <w:bookmarkEnd w:id="22"/>
      <w:bookmarkEnd w:id="23"/>
      <w:r w:rsidRPr="00850E5D">
        <w:rPr>
          <w:rFonts w:asciiTheme="majorBidi" w:hAnsiTheme="majorBidi" w:cstheme="majorBidi"/>
          <w:sz w:val="28"/>
          <w:szCs w:val="28"/>
        </w:rPr>
        <w:t xml:space="preserve"> (602.83 </w:t>
      </w:r>
      <w:r w:rsidR="00850E5D" w:rsidRPr="00850E5D">
        <w:rPr>
          <w:rFonts w:asciiTheme="majorBidi" w:hAnsiTheme="majorBidi" w:cstheme="majorBidi"/>
          <w:sz w:val="28"/>
          <w:szCs w:val="28"/>
        </w:rPr>
        <w:t>± 37.15) and</w:t>
      </w:r>
      <w:r w:rsidRPr="00850E5D">
        <w:rPr>
          <w:rFonts w:asciiTheme="majorBidi" w:hAnsiTheme="majorBidi" w:cstheme="majorBidi"/>
          <w:sz w:val="28"/>
          <w:szCs w:val="28"/>
        </w:rPr>
        <w:t xml:space="preserve"> (318 ± 26.75) respectively. These</w:t>
      </w:r>
      <w:r w:rsidRPr="00850E5D">
        <w:rPr>
          <w:rFonts w:asciiTheme="majorBidi" w:eastAsia="Calibri" w:hAnsiTheme="majorBidi" w:cstheme="majorBidi"/>
          <w:sz w:val="28"/>
          <w:szCs w:val="28"/>
        </w:rPr>
        <w:t xml:space="preserve"> </w:t>
      </w:r>
      <w:r w:rsidR="001708EB" w:rsidRPr="00850E5D">
        <w:rPr>
          <w:rFonts w:asciiTheme="majorBidi" w:eastAsia="Calibri" w:hAnsiTheme="majorBidi" w:cstheme="majorBidi"/>
          <w:sz w:val="28"/>
          <w:szCs w:val="28"/>
        </w:rPr>
        <w:t xml:space="preserve">findings were in agreement with </w:t>
      </w:r>
      <w:r w:rsidR="001708EB" w:rsidRPr="00850E5D">
        <w:rPr>
          <w:rFonts w:asciiTheme="majorBidi" w:eastAsia="Calibri" w:hAnsiTheme="majorBidi" w:cstheme="majorBidi"/>
          <w:b/>
          <w:bCs/>
          <w:sz w:val="28"/>
          <w:szCs w:val="28"/>
        </w:rPr>
        <w:t>(11</w:t>
      </w:r>
      <w:r w:rsidRPr="00850E5D">
        <w:rPr>
          <w:rFonts w:asciiTheme="majorBidi" w:eastAsia="Calibri" w:hAnsiTheme="majorBidi" w:cstheme="majorBidi"/>
          <w:b/>
          <w:bCs/>
          <w:sz w:val="28"/>
          <w:szCs w:val="28"/>
        </w:rPr>
        <w:t xml:space="preserve">) </w:t>
      </w:r>
      <w:r w:rsidRPr="00850E5D">
        <w:rPr>
          <w:rFonts w:asciiTheme="majorBidi" w:eastAsia="Calibri" w:hAnsiTheme="majorBidi" w:cstheme="majorBidi"/>
          <w:sz w:val="28"/>
          <w:szCs w:val="28"/>
        </w:rPr>
        <w:t xml:space="preserve">who reported that </w:t>
      </w:r>
      <w:bookmarkStart w:id="24" w:name="OLE_LINK43"/>
      <w:bookmarkStart w:id="25" w:name="OLE_LINK44"/>
      <w:bookmarkStart w:id="26" w:name="OLE_LINK25"/>
      <w:bookmarkStart w:id="27" w:name="OLE_LINK26"/>
      <w:r w:rsidRPr="00850E5D">
        <w:rPr>
          <w:rFonts w:asciiTheme="majorBidi" w:eastAsia="Calibri" w:hAnsiTheme="majorBidi" w:cstheme="majorBidi"/>
          <w:sz w:val="28"/>
          <w:szCs w:val="28"/>
        </w:rPr>
        <w:t>when rats were given STG</w:t>
      </w:r>
      <w:r w:rsidRPr="00850E5D">
        <w:rPr>
          <w:rFonts w:asciiTheme="majorBidi" w:hAnsiTheme="majorBidi" w:cstheme="majorBidi"/>
          <w:sz w:val="28"/>
          <w:szCs w:val="28"/>
        </w:rPr>
        <w:t xml:space="preserve"> </w:t>
      </w:r>
      <w:r w:rsidRPr="00850E5D">
        <w:rPr>
          <w:rFonts w:asciiTheme="majorBidi" w:eastAsia="Calibri" w:hAnsiTheme="majorBidi" w:cstheme="majorBidi"/>
          <w:sz w:val="28"/>
          <w:szCs w:val="28"/>
        </w:rPr>
        <w:t xml:space="preserve">before DOX administration, </w:t>
      </w:r>
      <w:bookmarkEnd w:id="24"/>
      <w:bookmarkEnd w:id="25"/>
      <w:r w:rsidRPr="00850E5D">
        <w:rPr>
          <w:rFonts w:asciiTheme="majorBidi" w:eastAsia="Calibri" w:hAnsiTheme="majorBidi" w:cstheme="majorBidi"/>
          <w:sz w:val="28"/>
          <w:szCs w:val="28"/>
        </w:rPr>
        <w:t xml:space="preserve">this leads to </w:t>
      </w:r>
      <w:bookmarkEnd w:id="26"/>
      <w:bookmarkEnd w:id="27"/>
      <w:r w:rsidRPr="00850E5D">
        <w:rPr>
          <w:rFonts w:asciiTheme="majorBidi" w:eastAsia="Calibri" w:hAnsiTheme="majorBidi" w:cstheme="majorBidi"/>
          <w:sz w:val="28"/>
          <w:szCs w:val="28"/>
        </w:rPr>
        <w:t>restoring normal cardiac function.</w:t>
      </w:r>
    </w:p>
    <w:p w:rsidR="009149C2" w:rsidRPr="00850E5D" w:rsidRDefault="009149C2" w:rsidP="00850E5D">
      <w:pPr>
        <w:bidi w:val="0"/>
        <w:spacing w:line="360" w:lineRule="auto"/>
        <w:ind w:firstLine="720"/>
        <w:jc w:val="both"/>
        <w:rPr>
          <w:rFonts w:asciiTheme="majorBidi" w:eastAsia="Calibri" w:hAnsiTheme="majorBidi" w:cstheme="majorBidi"/>
          <w:sz w:val="28"/>
          <w:szCs w:val="28"/>
        </w:rPr>
      </w:pPr>
      <w:r w:rsidRPr="00850E5D">
        <w:rPr>
          <w:rFonts w:asciiTheme="majorBidi" w:hAnsiTheme="majorBidi" w:cstheme="majorBidi"/>
          <w:sz w:val="28"/>
          <w:szCs w:val="28"/>
        </w:rPr>
        <w:t>To investigate the mechanism by which STG ameliorates the manifestations of DIC, the cardiac tissue level of NO was measured.</w:t>
      </w:r>
      <w:r w:rsidRPr="00850E5D">
        <w:rPr>
          <w:rFonts w:asciiTheme="majorBidi" w:hAnsiTheme="majorBidi" w:cstheme="majorBidi"/>
          <w:sz w:val="28"/>
          <w:szCs w:val="28"/>
          <w:lang w:bidi="ar-MA"/>
        </w:rPr>
        <w:t xml:space="preserve"> </w:t>
      </w:r>
      <w:r w:rsidR="00850E5D" w:rsidRPr="00850E5D">
        <w:rPr>
          <w:rFonts w:asciiTheme="majorBidi" w:hAnsiTheme="majorBidi" w:cstheme="majorBidi"/>
          <w:sz w:val="28"/>
          <w:szCs w:val="28"/>
        </w:rPr>
        <w:t>O</w:t>
      </w:r>
      <w:r w:rsidRPr="00850E5D">
        <w:rPr>
          <w:rFonts w:asciiTheme="majorBidi" w:hAnsiTheme="majorBidi" w:cstheme="majorBidi"/>
          <w:sz w:val="28"/>
          <w:szCs w:val="28"/>
        </w:rPr>
        <w:t>ur study revealed that the DOX group exhibited significant decreases in the cardiac levels of NO (6.27 ± 1.24), when compared to control group</w:t>
      </w:r>
      <w:r w:rsidRPr="00850E5D">
        <w:rPr>
          <w:rFonts w:asciiTheme="majorBidi" w:hAnsiTheme="majorBidi" w:cstheme="majorBidi"/>
          <w:sz w:val="28"/>
          <w:szCs w:val="28"/>
          <w:rtl/>
          <w:lang w:bidi="ar-MA"/>
        </w:rPr>
        <w:t xml:space="preserve"> </w:t>
      </w:r>
      <w:r w:rsidRPr="00850E5D">
        <w:rPr>
          <w:rFonts w:asciiTheme="majorBidi" w:hAnsiTheme="majorBidi" w:cstheme="majorBidi"/>
          <w:sz w:val="28"/>
          <w:szCs w:val="28"/>
        </w:rPr>
        <w:t xml:space="preserve">(12.40 ± 1.74) as (P&lt;0.05) as </w:t>
      </w:r>
      <w:r w:rsidR="006C3AAE" w:rsidRPr="00850E5D">
        <w:rPr>
          <w:rFonts w:asciiTheme="majorBidi" w:hAnsiTheme="majorBidi" w:cstheme="majorBidi"/>
          <w:sz w:val="28"/>
          <w:szCs w:val="28"/>
        </w:rPr>
        <w:t>seen in (Table 1</w:t>
      </w:r>
      <w:r w:rsidRPr="00850E5D">
        <w:rPr>
          <w:rFonts w:asciiTheme="majorBidi" w:hAnsiTheme="majorBidi" w:cstheme="majorBidi"/>
          <w:sz w:val="28"/>
          <w:szCs w:val="28"/>
        </w:rPr>
        <w:t>).</w:t>
      </w:r>
      <w:r w:rsidRPr="00850E5D">
        <w:rPr>
          <w:rFonts w:asciiTheme="majorBidi" w:eastAsia="Calibri" w:hAnsiTheme="majorBidi" w:cstheme="majorBidi"/>
          <w:sz w:val="28"/>
          <w:szCs w:val="28"/>
        </w:rPr>
        <w:t xml:space="preserve">This finding was in agreement with </w:t>
      </w:r>
      <w:r w:rsidR="001708EB" w:rsidRPr="00850E5D">
        <w:rPr>
          <w:rFonts w:asciiTheme="majorBidi" w:eastAsia="Calibri" w:hAnsiTheme="majorBidi" w:cstheme="majorBidi"/>
          <w:b/>
          <w:bCs/>
          <w:sz w:val="28"/>
          <w:szCs w:val="28"/>
        </w:rPr>
        <w:t>(12</w:t>
      </w:r>
      <w:r w:rsidRPr="00850E5D">
        <w:rPr>
          <w:rFonts w:asciiTheme="majorBidi" w:eastAsia="Calibri" w:hAnsiTheme="majorBidi" w:cstheme="majorBidi"/>
          <w:b/>
          <w:bCs/>
          <w:sz w:val="28"/>
          <w:szCs w:val="28"/>
        </w:rPr>
        <w:t xml:space="preserve">) </w:t>
      </w:r>
      <w:r w:rsidRPr="00850E5D">
        <w:rPr>
          <w:rFonts w:asciiTheme="majorBidi" w:eastAsia="Calibri" w:hAnsiTheme="majorBidi" w:cstheme="majorBidi"/>
          <w:sz w:val="28"/>
          <w:szCs w:val="28"/>
        </w:rPr>
        <w:t>who</w:t>
      </w:r>
      <w:r w:rsidRPr="00850E5D">
        <w:rPr>
          <w:rFonts w:asciiTheme="majorBidi" w:eastAsia="Calibri" w:hAnsiTheme="majorBidi" w:cstheme="majorBidi"/>
          <w:b/>
          <w:bCs/>
          <w:sz w:val="28"/>
          <w:szCs w:val="28"/>
        </w:rPr>
        <w:t xml:space="preserve"> </w:t>
      </w:r>
      <w:r w:rsidRPr="00850E5D">
        <w:rPr>
          <w:rFonts w:asciiTheme="majorBidi" w:eastAsia="Calibri" w:hAnsiTheme="majorBidi" w:cstheme="majorBidi"/>
          <w:sz w:val="28"/>
          <w:szCs w:val="28"/>
        </w:rPr>
        <w:t>reported that when mice were injected with DOX leads to significant decrease in NO level. This</w:t>
      </w:r>
      <w:r w:rsidRPr="00850E5D">
        <w:rPr>
          <w:rFonts w:asciiTheme="majorBidi" w:hAnsiTheme="majorBidi" w:cstheme="majorBidi"/>
          <w:sz w:val="28"/>
          <w:szCs w:val="28"/>
        </w:rPr>
        <w:t xml:space="preserve"> could be explained by DOX treatment induces</w:t>
      </w:r>
      <w:r w:rsidRPr="00850E5D">
        <w:rPr>
          <w:rFonts w:asciiTheme="majorBidi" w:hAnsiTheme="majorBidi" w:cstheme="majorBidi"/>
          <w:sz w:val="28"/>
          <w:szCs w:val="28"/>
          <w:rtl/>
          <w:lang w:bidi="ar-EG"/>
        </w:rPr>
        <w:t xml:space="preserve"> </w:t>
      </w:r>
      <w:r w:rsidRPr="00850E5D">
        <w:rPr>
          <w:rFonts w:asciiTheme="majorBidi" w:hAnsiTheme="majorBidi" w:cstheme="majorBidi"/>
          <w:sz w:val="28"/>
          <w:szCs w:val="28"/>
          <w:lang w:bidi="ar-EG"/>
        </w:rPr>
        <w:t>endothelial toxicity</w:t>
      </w:r>
      <w:r w:rsidRPr="00850E5D">
        <w:rPr>
          <w:rFonts w:asciiTheme="majorBidi" w:hAnsiTheme="majorBidi" w:cstheme="majorBidi"/>
          <w:sz w:val="28"/>
          <w:szCs w:val="28"/>
        </w:rPr>
        <w:t xml:space="preserve"> which has been linked to excessiv</w:t>
      </w:r>
      <w:r w:rsidR="00957D52" w:rsidRPr="00850E5D">
        <w:rPr>
          <w:rFonts w:asciiTheme="majorBidi" w:hAnsiTheme="majorBidi" w:cstheme="majorBidi"/>
          <w:sz w:val="28"/>
          <w:szCs w:val="28"/>
        </w:rPr>
        <w:t>e ROS generation</w:t>
      </w:r>
      <w:r w:rsidRPr="00850E5D">
        <w:rPr>
          <w:rFonts w:asciiTheme="majorBidi" w:hAnsiTheme="majorBidi" w:cstheme="majorBidi"/>
          <w:sz w:val="28"/>
          <w:szCs w:val="28"/>
        </w:rPr>
        <w:t xml:space="preserve">, this leads to increases intracellular oxidant stress, disruption of NO/superoxide balance, decreases of NO and alteration the endothelial elasticity. In other words, DOX reduces eNOS which leads to decrease the bioavailability of NO in endothelial cells which contributes to endothelial dysfunction </w:t>
      </w:r>
      <w:r w:rsidR="001708EB" w:rsidRPr="00850E5D">
        <w:rPr>
          <w:rFonts w:asciiTheme="majorBidi" w:hAnsiTheme="majorBidi" w:cstheme="majorBidi"/>
          <w:b/>
          <w:bCs/>
          <w:sz w:val="28"/>
          <w:szCs w:val="28"/>
        </w:rPr>
        <w:t>(13</w:t>
      </w:r>
      <w:r w:rsidRPr="00850E5D">
        <w:rPr>
          <w:rFonts w:asciiTheme="majorBidi" w:hAnsiTheme="majorBidi" w:cstheme="majorBidi"/>
          <w:b/>
          <w:bCs/>
          <w:sz w:val="28"/>
          <w:szCs w:val="28"/>
        </w:rPr>
        <w:t>).</w:t>
      </w:r>
    </w:p>
    <w:p w:rsidR="009149C2" w:rsidRPr="00850E5D" w:rsidRDefault="009149C2" w:rsidP="00571A5F">
      <w:pPr>
        <w:bidi w:val="0"/>
        <w:spacing w:line="360" w:lineRule="auto"/>
        <w:ind w:firstLine="720"/>
        <w:jc w:val="both"/>
        <w:rPr>
          <w:rFonts w:asciiTheme="majorBidi" w:eastAsia="Calibri" w:hAnsiTheme="majorBidi" w:cstheme="majorBidi"/>
          <w:sz w:val="28"/>
          <w:szCs w:val="28"/>
        </w:rPr>
      </w:pPr>
      <w:r w:rsidRPr="00850E5D">
        <w:rPr>
          <w:rFonts w:asciiTheme="majorBidi" w:hAnsiTheme="majorBidi" w:cstheme="majorBidi"/>
          <w:sz w:val="28"/>
          <w:szCs w:val="28"/>
          <w:shd w:val="clear" w:color="auto" w:fill="FFFFFF"/>
        </w:rPr>
        <w:t xml:space="preserve">Furthermore, STG group exhibited significant increases in cardiac NO levels </w:t>
      </w:r>
      <w:r w:rsidRPr="00850E5D">
        <w:rPr>
          <w:rFonts w:asciiTheme="majorBidi" w:hAnsiTheme="majorBidi" w:cstheme="majorBidi"/>
          <w:sz w:val="28"/>
          <w:szCs w:val="28"/>
        </w:rPr>
        <w:t xml:space="preserve">(20.14 ± 2.23) </w:t>
      </w:r>
      <w:r w:rsidRPr="00850E5D">
        <w:rPr>
          <w:rFonts w:asciiTheme="majorBidi" w:hAnsiTheme="majorBidi" w:cstheme="majorBidi"/>
          <w:sz w:val="28"/>
          <w:szCs w:val="28"/>
          <w:shd w:val="clear" w:color="auto" w:fill="FFFFFF"/>
        </w:rPr>
        <w:t xml:space="preserve">when compared to </w:t>
      </w:r>
      <w:r w:rsidRPr="00850E5D">
        <w:rPr>
          <w:rFonts w:asciiTheme="majorBidi" w:hAnsiTheme="majorBidi" w:cstheme="majorBidi"/>
          <w:sz w:val="28"/>
          <w:szCs w:val="28"/>
          <w:lang w:bidi="ar-EG"/>
        </w:rPr>
        <w:t>DOX</w:t>
      </w:r>
      <w:r w:rsidRPr="00850E5D">
        <w:rPr>
          <w:rFonts w:asciiTheme="majorBidi" w:hAnsiTheme="majorBidi" w:cstheme="majorBidi"/>
          <w:sz w:val="28"/>
          <w:szCs w:val="28"/>
          <w:shd w:val="clear" w:color="auto" w:fill="FFFFFF"/>
        </w:rPr>
        <w:t xml:space="preserve"> group </w:t>
      </w:r>
      <w:r w:rsidRPr="00850E5D">
        <w:rPr>
          <w:rFonts w:asciiTheme="majorBidi" w:hAnsiTheme="majorBidi" w:cstheme="majorBidi"/>
          <w:sz w:val="28"/>
          <w:szCs w:val="28"/>
        </w:rPr>
        <w:t>(6.27 ± 1.24) as</w:t>
      </w:r>
      <w:r w:rsidRPr="00850E5D">
        <w:rPr>
          <w:rFonts w:asciiTheme="majorBidi" w:hAnsiTheme="majorBidi" w:cstheme="majorBidi"/>
          <w:sz w:val="28"/>
          <w:szCs w:val="28"/>
          <w:shd w:val="clear" w:color="auto" w:fill="FFFFFF"/>
        </w:rPr>
        <w:t xml:space="preserve"> (P&lt; 0.05) as seen in </w:t>
      </w:r>
      <w:r w:rsidR="001E27D2" w:rsidRPr="00850E5D">
        <w:rPr>
          <w:rFonts w:asciiTheme="majorBidi" w:hAnsiTheme="majorBidi" w:cstheme="majorBidi"/>
          <w:sz w:val="28"/>
          <w:szCs w:val="28"/>
        </w:rPr>
        <w:t>(Table 1</w:t>
      </w:r>
      <w:r w:rsidRPr="00850E5D">
        <w:rPr>
          <w:rFonts w:asciiTheme="majorBidi" w:hAnsiTheme="majorBidi" w:cstheme="majorBidi"/>
          <w:sz w:val="28"/>
          <w:szCs w:val="28"/>
        </w:rPr>
        <w:t xml:space="preserve">). </w:t>
      </w:r>
      <w:r w:rsidRPr="00850E5D">
        <w:rPr>
          <w:rFonts w:asciiTheme="majorBidi" w:hAnsiTheme="majorBidi" w:cstheme="majorBidi"/>
          <w:sz w:val="28"/>
          <w:szCs w:val="28"/>
          <w:lang w:bidi="ar-EG"/>
        </w:rPr>
        <w:t>These findings revealed the antioxidant properties of STG administration. In supporting of our findings</w:t>
      </w:r>
      <w:r w:rsidRPr="00850E5D">
        <w:rPr>
          <w:rFonts w:asciiTheme="majorBidi" w:hAnsiTheme="majorBidi" w:cstheme="majorBidi"/>
          <w:b/>
          <w:bCs/>
          <w:sz w:val="28"/>
          <w:szCs w:val="28"/>
          <w:lang w:bidi="ar-EG"/>
        </w:rPr>
        <w:t>,</w:t>
      </w:r>
      <w:r w:rsidR="007145DA" w:rsidRPr="00850E5D">
        <w:rPr>
          <w:rFonts w:asciiTheme="majorBidi" w:hAnsiTheme="majorBidi" w:cstheme="majorBidi"/>
          <w:b/>
          <w:bCs/>
          <w:sz w:val="28"/>
          <w:szCs w:val="28"/>
          <w:shd w:val="clear" w:color="auto" w:fill="FFFFFF"/>
        </w:rPr>
        <w:t xml:space="preserve"> </w:t>
      </w:r>
      <w:r w:rsidR="001708EB" w:rsidRPr="00850E5D">
        <w:rPr>
          <w:rFonts w:asciiTheme="majorBidi" w:hAnsiTheme="majorBidi" w:cstheme="majorBidi"/>
          <w:b/>
          <w:bCs/>
          <w:sz w:val="28"/>
          <w:szCs w:val="28"/>
          <w:shd w:val="clear" w:color="auto" w:fill="FFFFFF"/>
        </w:rPr>
        <w:t>(11</w:t>
      </w:r>
      <w:r w:rsidRPr="00850E5D">
        <w:rPr>
          <w:rFonts w:asciiTheme="majorBidi" w:hAnsiTheme="majorBidi" w:cstheme="majorBidi"/>
          <w:b/>
          <w:bCs/>
          <w:sz w:val="28"/>
          <w:szCs w:val="28"/>
          <w:shd w:val="clear" w:color="auto" w:fill="FFFFFF"/>
        </w:rPr>
        <w:t>)</w:t>
      </w:r>
      <w:r w:rsidRPr="00850E5D">
        <w:rPr>
          <w:rFonts w:asciiTheme="majorBidi" w:hAnsiTheme="majorBidi" w:cstheme="majorBidi"/>
          <w:sz w:val="28"/>
          <w:szCs w:val="28"/>
        </w:rPr>
        <w:t xml:space="preserve"> found that </w:t>
      </w:r>
      <w:r w:rsidRPr="00850E5D">
        <w:rPr>
          <w:rFonts w:asciiTheme="majorBidi" w:eastAsia="Calibri" w:hAnsiTheme="majorBidi" w:cstheme="majorBidi"/>
          <w:sz w:val="28"/>
          <w:szCs w:val="28"/>
        </w:rPr>
        <w:t>when rats were given STG</w:t>
      </w:r>
      <w:r w:rsidRPr="00850E5D">
        <w:rPr>
          <w:rFonts w:asciiTheme="majorBidi" w:hAnsiTheme="majorBidi" w:cstheme="majorBidi"/>
          <w:sz w:val="28"/>
          <w:szCs w:val="28"/>
        </w:rPr>
        <w:t xml:space="preserve"> </w:t>
      </w:r>
      <w:r w:rsidRPr="00850E5D">
        <w:rPr>
          <w:rFonts w:asciiTheme="majorBidi" w:eastAsia="Calibri" w:hAnsiTheme="majorBidi" w:cstheme="majorBidi"/>
          <w:sz w:val="28"/>
          <w:szCs w:val="28"/>
        </w:rPr>
        <w:t>at a dose of 20 mg/kg, orally for 10 days before DOX administration, while DOX was given one dose on the 10th day  in a dose of 20 mg/kg, i.p this leads to an  increase in cardiac NO level. Also</w:t>
      </w:r>
      <w:r w:rsidR="00850E5D" w:rsidRPr="00850E5D">
        <w:rPr>
          <w:rFonts w:asciiTheme="majorBidi" w:eastAsia="Calibri" w:hAnsiTheme="majorBidi" w:cstheme="majorBidi"/>
          <w:sz w:val="28"/>
          <w:szCs w:val="28"/>
          <w:u w:val="single"/>
        </w:rPr>
        <w:t>,</w:t>
      </w:r>
      <w:r w:rsidR="007145DA" w:rsidRPr="00850E5D">
        <w:rPr>
          <w:rFonts w:asciiTheme="majorBidi" w:eastAsiaTheme="minorEastAsia" w:hAnsiTheme="majorBidi" w:cstheme="majorBidi"/>
          <w:b/>
          <w:bCs/>
          <w:sz w:val="28"/>
          <w:szCs w:val="28"/>
          <w:shd w:val="clear" w:color="auto" w:fill="FFFFFF"/>
          <w:lang w:val="en-GB" w:eastAsia="en-GB"/>
        </w:rPr>
        <w:t xml:space="preserve"> </w:t>
      </w:r>
      <w:r w:rsidR="001708EB" w:rsidRPr="00850E5D">
        <w:rPr>
          <w:rFonts w:asciiTheme="majorBidi" w:hAnsiTheme="majorBidi" w:cstheme="majorBidi"/>
          <w:b/>
          <w:bCs/>
          <w:sz w:val="28"/>
          <w:szCs w:val="28"/>
          <w:u w:val="single"/>
          <w:shd w:val="clear" w:color="auto" w:fill="FFFFFF"/>
          <w:lang w:val="en-GB" w:eastAsia="en-GB"/>
        </w:rPr>
        <w:t>(14</w:t>
      </w:r>
      <w:r w:rsidRPr="00850E5D">
        <w:rPr>
          <w:rFonts w:asciiTheme="majorBidi" w:hAnsiTheme="majorBidi" w:cstheme="majorBidi"/>
          <w:b/>
          <w:bCs/>
          <w:sz w:val="28"/>
          <w:szCs w:val="28"/>
          <w:u w:val="single"/>
          <w:shd w:val="clear" w:color="auto" w:fill="FFFFFF"/>
          <w:lang w:val="en-GB" w:eastAsia="en-GB"/>
        </w:rPr>
        <w:t>)</w:t>
      </w:r>
      <w:r w:rsidRPr="00850E5D">
        <w:rPr>
          <w:rFonts w:asciiTheme="majorBidi" w:hAnsiTheme="majorBidi" w:cstheme="majorBidi"/>
          <w:b/>
          <w:bCs/>
          <w:sz w:val="28"/>
          <w:szCs w:val="28"/>
          <w:shd w:val="clear" w:color="auto" w:fill="FFFFFF"/>
          <w:lang w:val="en-GB" w:eastAsia="en-GB"/>
        </w:rPr>
        <w:t xml:space="preserve"> </w:t>
      </w:r>
      <w:r w:rsidRPr="00850E5D">
        <w:rPr>
          <w:rFonts w:asciiTheme="majorBidi" w:hAnsiTheme="majorBidi" w:cstheme="majorBidi"/>
          <w:sz w:val="28"/>
          <w:szCs w:val="28"/>
          <w:shd w:val="clear" w:color="auto" w:fill="FFFFFF"/>
        </w:rPr>
        <w:t xml:space="preserve">found that </w:t>
      </w:r>
      <w:r w:rsidRPr="00850E5D">
        <w:rPr>
          <w:rFonts w:asciiTheme="majorBidi" w:hAnsiTheme="majorBidi" w:cstheme="majorBidi"/>
          <w:sz w:val="28"/>
          <w:szCs w:val="28"/>
        </w:rPr>
        <w:t xml:space="preserve">when diabetic rats were given STG therapy leads to an increase in cardiac NO. </w:t>
      </w:r>
      <w:r w:rsidRPr="00850E5D">
        <w:rPr>
          <w:rFonts w:asciiTheme="majorBidi" w:eastAsia="Calibri" w:hAnsiTheme="majorBidi" w:cstheme="majorBidi"/>
          <w:sz w:val="28"/>
          <w:szCs w:val="28"/>
        </w:rPr>
        <w:t xml:space="preserve">This could be explained by </w:t>
      </w:r>
      <w:r w:rsidRPr="00850E5D">
        <w:rPr>
          <w:rFonts w:asciiTheme="majorBidi" w:hAnsiTheme="majorBidi" w:cstheme="majorBidi"/>
          <w:sz w:val="28"/>
          <w:szCs w:val="28"/>
        </w:rPr>
        <w:t>activation of GLP-1 with STG causes up</w:t>
      </w:r>
      <w:r w:rsidRPr="00850E5D">
        <w:rPr>
          <w:rFonts w:asciiTheme="majorBidi" w:hAnsiTheme="majorBidi" w:cstheme="majorBidi"/>
          <w:sz w:val="28"/>
          <w:szCs w:val="28"/>
          <w:rtl/>
        </w:rPr>
        <w:t xml:space="preserve"> </w:t>
      </w:r>
      <w:r w:rsidRPr="00850E5D">
        <w:rPr>
          <w:rFonts w:asciiTheme="majorBidi" w:hAnsiTheme="majorBidi" w:cstheme="majorBidi"/>
          <w:sz w:val="28"/>
          <w:szCs w:val="28"/>
        </w:rPr>
        <w:t xml:space="preserve">regulation in intracellular cascades like protein kinases and cGMP, mediated NOS upregulation and e-NOS production </w:t>
      </w:r>
      <w:r w:rsidR="001708EB" w:rsidRPr="00850E5D">
        <w:rPr>
          <w:rFonts w:asciiTheme="majorBidi" w:eastAsia="Calibri" w:hAnsiTheme="majorBidi" w:cstheme="majorBidi"/>
          <w:b/>
          <w:bCs/>
          <w:sz w:val="28"/>
          <w:szCs w:val="28"/>
        </w:rPr>
        <w:t>(15</w:t>
      </w:r>
      <w:r w:rsidRPr="00850E5D">
        <w:rPr>
          <w:rFonts w:asciiTheme="majorBidi" w:eastAsia="Calibri" w:hAnsiTheme="majorBidi" w:cstheme="majorBidi"/>
          <w:b/>
          <w:bCs/>
          <w:sz w:val="28"/>
          <w:szCs w:val="28"/>
        </w:rPr>
        <w:t>).</w:t>
      </w:r>
      <w:r w:rsidRPr="00850E5D">
        <w:rPr>
          <w:rFonts w:asciiTheme="majorBidi" w:eastAsia="Calibri" w:hAnsiTheme="majorBidi" w:cstheme="majorBidi"/>
          <w:b/>
          <w:bCs/>
          <w:sz w:val="28"/>
          <w:szCs w:val="28"/>
          <w:rtl/>
        </w:rPr>
        <w:t xml:space="preserve"> </w:t>
      </w:r>
    </w:p>
    <w:p w:rsidR="009149C2" w:rsidRPr="008C1381" w:rsidRDefault="00CE4720" w:rsidP="008C1381">
      <w:pPr>
        <w:bidi w:val="0"/>
        <w:spacing w:line="360" w:lineRule="auto"/>
        <w:ind w:firstLine="720"/>
        <w:jc w:val="both"/>
        <w:rPr>
          <w:rFonts w:asciiTheme="majorBidi" w:hAnsiTheme="majorBidi" w:cstheme="majorBidi"/>
          <w:sz w:val="28"/>
          <w:szCs w:val="28"/>
        </w:rPr>
      </w:pPr>
      <w:r w:rsidRPr="008C1381">
        <w:rPr>
          <w:rFonts w:asciiTheme="majorBidi" w:hAnsiTheme="majorBidi" w:cstheme="majorBidi"/>
          <w:sz w:val="28"/>
          <w:szCs w:val="28"/>
        </w:rPr>
        <w:t>Our</w:t>
      </w:r>
      <w:r w:rsidR="009149C2" w:rsidRPr="008C1381">
        <w:rPr>
          <w:rFonts w:asciiTheme="majorBidi" w:hAnsiTheme="majorBidi" w:cstheme="majorBidi"/>
          <w:sz w:val="28"/>
          <w:szCs w:val="28"/>
        </w:rPr>
        <w:t xml:space="preserve"> study also investigated the serum l</w:t>
      </w:r>
      <w:r w:rsidRPr="008C1381">
        <w:rPr>
          <w:rFonts w:asciiTheme="majorBidi" w:hAnsiTheme="majorBidi" w:cstheme="majorBidi"/>
          <w:sz w:val="28"/>
          <w:szCs w:val="28"/>
        </w:rPr>
        <w:t xml:space="preserve">evel of antioxidant enzyme SOD and </w:t>
      </w:r>
      <w:r w:rsidR="009149C2" w:rsidRPr="008C1381">
        <w:rPr>
          <w:rFonts w:asciiTheme="majorBidi" w:hAnsiTheme="majorBidi" w:cstheme="majorBidi"/>
          <w:sz w:val="28"/>
          <w:szCs w:val="28"/>
        </w:rPr>
        <w:t>MDA</w:t>
      </w:r>
      <w:r w:rsidRPr="008C1381">
        <w:rPr>
          <w:rFonts w:asciiTheme="majorBidi" w:hAnsiTheme="majorBidi" w:cstheme="majorBidi"/>
          <w:sz w:val="28"/>
          <w:szCs w:val="28"/>
        </w:rPr>
        <w:t xml:space="preserve"> as a</w:t>
      </w:r>
      <w:r w:rsidR="009A5558" w:rsidRPr="008C1381">
        <w:rPr>
          <w:rFonts w:asciiTheme="majorBidi" w:hAnsiTheme="majorBidi" w:cstheme="majorBidi"/>
          <w:sz w:val="28"/>
          <w:szCs w:val="28"/>
        </w:rPr>
        <w:t xml:space="preserve"> marker for lipid peroxidation. T</w:t>
      </w:r>
      <w:r w:rsidR="009149C2" w:rsidRPr="008C1381">
        <w:rPr>
          <w:rFonts w:asciiTheme="majorBidi" w:hAnsiTheme="majorBidi" w:cstheme="majorBidi"/>
          <w:sz w:val="28"/>
          <w:szCs w:val="28"/>
        </w:rPr>
        <w:t xml:space="preserve">he DOX group exhibited significant increase in serum level of MDA </w:t>
      </w:r>
      <w:bookmarkStart w:id="28" w:name="OLE_LINK46"/>
      <w:bookmarkStart w:id="29" w:name="OLE_LINK47"/>
      <w:r w:rsidR="009149C2" w:rsidRPr="008C1381">
        <w:rPr>
          <w:rFonts w:asciiTheme="majorBidi" w:hAnsiTheme="majorBidi" w:cstheme="majorBidi"/>
          <w:sz w:val="28"/>
          <w:szCs w:val="28"/>
        </w:rPr>
        <w:t xml:space="preserve">(3.21 ± 0.60) </w:t>
      </w:r>
      <w:bookmarkEnd w:id="28"/>
      <w:bookmarkEnd w:id="29"/>
      <w:r w:rsidR="009149C2" w:rsidRPr="008C1381">
        <w:rPr>
          <w:rFonts w:asciiTheme="majorBidi" w:hAnsiTheme="majorBidi" w:cstheme="majorBidi"/>
          <w:sz w:val="28"/>
          <w:szCs w:val="28"/>
        </w:rPr>
        <w:t xml:space="preserve">that was coupled by significant decrease in the serum level of SOD </w:t>
      </w:r>
      <w:bookmarkStart w:id="30" w:name="OLE_LINK48"/>
      <w:bookmarkStart w:id="31" w:name="OLE_LINK49"/>
      <w:r w:rsidR="009149C2" w:rsidRPr="008C1381">
        <w:rPr>
          <w:rFonts w:asciiTheme="majorBidi" w:hAnsiTheme="majorBidi" w:cstheme="majorBidi"/>
          <w:sz w:val="28"/>
          <w:szCs w:val="28"/>
        </w:rPr>
        <w:t xml:space="preserve">(6.32 ± 1.47) </w:t>
      </w:r>
      <w:bookmarkEnd w:id="30"/>
      <w:bookmarkEnd w:id="31"/>
      <w:r w:rsidR="009149C2" w:rsidRPr="008C1381">
        <w:rPr>
          <w:rFonts w:asciiTheme="majorBidi" w:hAnsiTheme="majorBidi" w:cstheme="majorBidi"/>
          <w:sz w:val="28"/>
          <w:szCs w:val="28"/>
        </w:rPr>
        <w:t xml:space="preserve">when compared to control group (1.90 ± 0.40) and (14.13 ± 2.97) respectively as (P&lt;0.05) as </w:t>
      </w:r>
      <w:r w:rsidR="001E27D2" w:rsidRPr="008C1381">
        <w:rPr>
          <w:rFonts w:asciiTheme="majorBidi" w:hAnsiTheme="majorBidi" w:cstheme="majorBidi"/>
          <w:sz w:val="28"/>
          <w:szCs w:val="28"/>
        </w:rPr>
        <w:t>seen in (Table 1</w:t>
      </w:r>
      <w:r w:rsidR="009149C2" w:rsidRPr="008C1381">
        <w:rPr>
          <w:rFonts w:asciiTheme="majorBidi" w:hAnsiTheme="majorBidi" w:cstheme="majorBidi"/>
          <w:sz w:val="28"/>
          <w:szCs w:val="28"/>
        </w:rPr>
        <w:t xml:space="preserve">). Our results were in agreement with </w:t>
      </w:r>
      <w:r w:rsidR="001708EB" w:rsidRPr="008C1381">
        <w:rPr>
          <w:rFonts w:asciiTheme="majorBidi" w:hAnsiTheme="majorBidi" w:cstheme="majorBidi"/>
          <w:b/>
          <w:bCs/>
          <w:sz w:val="28"/>
          <w:szCs w:val="28"/>
          <w:shd w:val="clear" w:color="auto" w:fill="FFFFFF"/>
        </w:rPr>
        <w:t>(16</w:t>
      </w:r>
      <w:r w:rsidR="009149C2" w:rsidRPr="008C1381">
        <w:rPr>
          <w:rFonts w:asciiTheme="majorBidi" w:hAnsiTheme="majorBidi" w:cstheme="majorBidi"/>
          <w:b/>
          <w:bCs/>
          <w:sz w:val="28"/>
          <w:szCs w:val="28"/>
          <w:shd w:val="clear" w:color="auto" w:fill="FFFFFF"/>
        </w:rPr>
        <w:t xml:space="preserve">) </w:t>
      </w:r>
      <w:r w:rsidR="008C1381" w:rsidRPr="008C1381">
        <w:rPr>
          <w:rFonts w:asciiTheme="majorBidi" w:hAnsiTheme="majorBidi" w:cstheme="majorBidi"/>
          <w:sz w:val="28"/>
          <w:szCs w:val="28"/>
          <w:shd w:val="clear" w:color="auto" w:fill="FFFFFF"/>
        </w:rPr>
        <w:t>who found that DOX</w:t>
      </w:r>
      <w:r w:rsidR="009149C2" w:rsidRPr="008C1381">
        <w:rPr>
          <w:rFonts w:asciiTheme="majorBidi" w:hAnsiTheme="majorBidi" w:cstheme="majorBidi"/>
          <w:sz w:val="28"/>
          <w:szCs w:val="28"/>
          <w:shd w:val="clear" w:color="auto" w:fill="FFFFFF"/>
        </w:rPr>
        <w:t xml:space="preserve"> </w:t>
      </w:r>
      <w:r w:rsidR="008C1381" w:rsidRPr="008C1381">
        <w:rPr>
          <w:rFonts w:asciiTheme="majorBidi" w:hAnsiTheme="majorBidi" w:cstheme="majorBidi"/>
          <w:sz w:val="28"/>
          <w:szCs w:val="28"/>
          <w:shd w:val="clear" w:color="auto" w:fill="FFFFFF"/>
        </w:rPr>
        <w:t>injection leads to increase serum MDA level and decrease</w:t>
      </w:r>
      <w:r w:rsidR="009149C2" w:rsidRPr="008C1381">
        <w:rPr>
          <w:rFonts w:asciiTheme="majorBidi" w:hAnsiTheme="majorBidi" w:cstheme="majorBidi"/>
          <w:sz w:val="28"/>
          <w:szCs w:val="28"/>
          <w:shd w:val="clear" w:color="auto" w:fill="FFFFFF"/>
        </w:rPr>
        <w:t xml:space="preserve"> serum SOD level</w:t>
      </w:r>
      <w:r w:rsidR="009149C2" w:rsidRPr="008C1381">
        <w:rPr>
          <w:rFonts w:asciiTheme="majorBidi" w:hAnsiTheme="majorBidi" w:cstheme="majorBidi"/>
          <w:b/>
          <w:bCs/>
          <w:sz w:val="28"/>
          <w:szCs w:val="28"/>
          <w:shd w:val="clear" w:color="auto" w:fill="FFFFFF"/>
        </w:rPr>
        <w:t>.</w:t>
      </w:r>
      <w:r w:rsidR="009149C2" w:rsidRPr="008C1381">
        <w:rPr>
          <w:rFonts w:asciiTheme="majorBidi" w:hAnsiTheme="majorBidi" w:cstheme="majorBidi"/>
          <w:b/>
          <w:bCs/>
          <w:sz w:val="28"/>
          <w:szCs w:val="28"/>
        </w:rPr>
        <w:t xml:space="preserve"> </w:t>
      </w:r>
      <w:r w:rsidR="008C1381" w:rsidRPr="008C1381">
        <w:rPr>
          <w:rFonts w:asciiTheme="majorBidi" w:hAnsiTheme="majorBidi" w:cstheme="majorBidi"/>
          <w:sz w:val="28"/>
          <w:szCs w:val="28"/>
        </w:rPr>
        <w:t>These</w:t>
      </w:r>
      <w:r w:rsidR="009149C2" w:rsidRPr="008C1381">
        <w:rPr>
          <w:rFonts w:asciiTheme="majorBidi" w:hAnsiTheme="majorBidi" w:cstheme="majorBidi"/>
          <w:sz w:val="28"/>
          <w:szCs w:val="28"/>
        </w:rPr>
        <w:t xml:space="preserve"> finding</w:t>
      </w:r>
      <w:r w:rsidR="008C1381" w:rsidRPr="008C1381">
        <w:rPr>
          <w:rFonts w:asciiTheme="majorBidi" w:hAnsiTheme="majorBidi" w:cstheme="majorBidi"/>
          <w:sz w:val="28"/>
          <w:szCs w:val="28"/>
        </w:rPr>
        <w:t>s</w:t>
      </w:r>
      <w:r w:rsidR="009149C2" w:rsidRPr="008C1381">
        <w:rPr>
          <w:rFonts w:asciiTheme="majorBidi" w:hAnsiTheme="majorBidi" w:cstheme="majorBidi"/>
          <w:sz w:val="28"/>
          <w:szCs w:val="28"/>
        </w:rPr>
        <w:t xml:space="preserve"> </w:t>
      </w:r>
      <w:r w:rsidR="008C1381" w:rsidRPr="008C1381">
        <w:rPr>
          <w:rFonts w:asciiTheme="majorBidi" w:hAnsiTheme="majorBidi" w:cstheme="majorBidi"/>
          <w:sz w:val="28"/>
          <w:szCs w:val="28"/>
        </w:rPr>
        <w:t>indicate</w:t>
      </w:r>
      <w:r w:rsidR="009149C2" w:rsidRPr="008C1381">
        <w:rPr>
          <w:rFonts w:asciiTheme="majorBidi" w:hAnsiTheme="majorBidi" w:cstheme="majorBidi"/>
          <w:sz w:val="28"/>
          <w:szCs w:val="28"/>
        </w:rPr>
        <w:t xml:space="preserve"> that DIC is associated with oxygen species that stems from an imbalance between oxidative radicals and anti-oxidative enzymes </w:t>
      </w:r>
      <w:r w:rsidR="009149C2" w:rsidRPr="008C1381">
        <w:rPr>
          <w:rFonts w:asciiTheme="majorBidi" w:hAnsiTheme="majorBidi" w:cstheme="majorBidi"/>
          <w:b/>
          <w:bCs/>
          <w:sz w:val="28"/>
          <w:szCs w:val="28"/>
          <w:shd w:val="clear" w:color="auto" w:fill="FFFFFF"/>
        </w:rPr>
        <w:t>(</w:t>
      </w:r>
      <w:r w:rsidR="001708EB" w:rsidRPr="008C1381">
        <w:rPr>
          <w:rFonts w:asciiTheme="majorBidi" w:hAnsiTheme="majorBidi" w:cstheme="majorBidi"/>
          <w:b/>
          <w:bCs/>
          <w:sz w:val="28"/>
          <w:szCs w:val="28"/>
          <w:shd w:val="clear" w:color="auto" w:fill="FFFFFF"/>
        </w:rPr>
        <w:t>17</w:t>
      </w:r>
      <w:r w:rsidR="009149C2" w:rsidRPr="008C1381">
        <w:rPr>
          <w:rFonts w:asciiTheme="majorBidi" w:hAnsiTheme="majorBidi" w:cstheme="majorBidi"/>
          <w:b/>
          <w:bCs/>
          <w:sz w:val="28"/>
          <w:szCs w:val="28"/>
          <w:shd w:val="clear" w:color="auto" w:fill="FFFFFF"/>
        </w:rPr>
        <w:t>).</w:t>
      </w:r>
    </w:p>
    <w:p w:rsidR="009149C2" w:rsidRPr="00CE4720" w:rsidRDefault="009149C2" w:rsidP="00571A5F">
      <w:pPr>
        <w:bidi w:val="0"/>
        <w:spacing w:line="360" w:lineRule="auto"/>
        <w:ind w:firstLine="720"/>
        <w:jc w:val="both"/>
        <w:rPr>
          <w:rFonts w:asciiTheme="majorBidi" w:eastAsia="Calibri" w:hAnsiTheme="majorBidi" w:cstheme="majorBidi"/>
          <w:sz w:val="28"/>
          <w:szCs w:val="28"/>
        </w:rPr>
      </w:pPr>
      <w:r w:rsidRPr="00CE4720">
        <w:rPr>
          <w:rFonts w:asciiTheme="majorBidi" w:hAnsiTheme="majorBidi" w:cstheme="majorBidi"/>
          <w:sz w:val="28"/>
          <w:szCs w:val="28"/>
        </w:rPr>
        <w:t xml:space="preserve">Regarding to STG </w:t>
      </w:r>
      <w:r w:rsidR="00CE4720" w:rsidRPr="00CE4720">
        <w:rPr>
          <w:rFonts w:asciiTheme="majorBidi" w:hAnsiTheme="majorBidi" w:cstheme="majorBidi"/>
          <w:sz w:val="28"/>
          <w:szCs w:val="28"/>
        </w:rPr>
        <w:t>group</w:t>
      </w:r>
      <w:r w:rsidRPr="00CE4720">
        <w:rPr>
          <w:rFonts w:asciiTheme="majorBidi" w:hAnsiTheme="majorBidi" w:cstheme="majorBidi"/>
          <w:sz w:val="28"/>
          <w:szCs w:val="28"/>
        </w:rPr>
        <w:t xml:space="preserve">, there was significant decrease in serum level of MDA (1.26 ± 0.24) that was coupled by significant increase in the cardiac level of SOD (19.70 ± 1.84) when compared to the DOX group (3.21 ± 0.60) and (6.32 </w:t>
      </w:r>
      <w:r w:rsidR="00CE4720" w:rsidRPr="00CE4720">
        <w:rPr>
          <w:rFonts w:asciiTheme="majorBidi" w:hAnsiTheme="majorBidi" w:cstheme="majorBidi"/>
          <w:sz w:val="28"/>
          <w:szCs w:val="28"/>
        </w:rPr>
        <w:t>± 1.47) respectively</w:t>
      </w:r>
      <w:r w:rsidRPr="00CE4720">
        <w:rPr>
          <w:rFonts w:asciiTheme="majorBidi" w:hAnsiTheme="majorBidi" w:cstheme="majorBidi"/>
          <w:sz w:val="28"/>
          <w:szCs w:val="28"/>
        </w:rPr>
        <w:t xml:space="preserve"> as </w:t>
      </w:r>
      <w:r w:rsidR="001E27D2" w:rsidRPr="00CE4720">
        <w:rPr>
          <w:rFonts w:asciiTheme="majorBidi" w:hAnsiTheme="majorBidi" w:cstheme="majorBidi"/>
          <w:sz w:val="28"/>
          <w:szCs w:val="28"/>
        </w:rPr>
        <w:t>seen in (Table 1</w:t>
      </w:r>
      <w:r w:rsidRPr="00CE4720">
        <w:rPr>
          <w:rFonts w:asciiTheme="majorBidi" w:hAnsiTheme="majorBidi" w:cstheme="majorBidi"/>
          <w:sz w:val="28"/>
          <w:szCs w:val="28"/>
        </w:rPr>
        <w:t>).These findings revealed the antioxidant properties of STG. In supporting of our findings</w:t>
      </w:r>
      <w:r w:rsidR="00CE4720" w:rsidRPr="00CE4720">
        <w:rPr>
          <w:rFonts w:asciiTheme="majorBidi" w:hAnsiTheme="majorBidi" w:cstheme="majorBidi"/>
          <w:sz w:val="28"/>
          <w:szCs w:val="28"/>
        </w:rPr>
        <w:t>,</w:t>
      </w:r>
      <w:r w:rsidRPr="00CE4720">
        <w:rPr>
          <w:rFonts w:asciiTheme="majorBidi" w:hAnsiTheme="majorBidi" w:cstheme="majorBidi"/>
          <w:sz w:val="28"/>
          <w:szCs w:val="28"/>
        </w:rPr>
        <w:t xml:space="preserve"> </w:t>
      </w:r>
      <w:r w:rsidR="001708EB" w:rsidRPr="00CE4720">
        <w:rPr>
          <w:rFonts w:asciiTheme="majorBidi" w:hAnsiTheme="majorBidi" w:cstheme="majorBidi"/>
          <w:b/>
          <w:bCs/>
          <w:sz w:val="28"/>
          <w:szCs w:val="28"/>
        </w:rPr>
        <w:t>(18</w:t>
      </w:r>
      <w:r w:rsidRPr="00CE4720">
        <w:rPr>
          <w:rFonts w:asciiTheme="majorBidi" w:hAnsiTheme="majorBidi" w:cstheme="majorBidi"/>
          <w:b/>
          <w:bCs/>
          <w:sz w:val="28"/>
          <w:szCs w:val="28"/>
        </w:rPr>
        <w:t>)</w:t>
      </w:r>
      <w:r w:rsidRPr="00CE4720">
        <w:rPr>
          <w:rFonts w:asciiTheme="majorBidi" w:hAnsiTheme="majorBidi" w:cstheme="majorBidi"/>
          <w:sz w:val="28"/>
          <w:szCs w:val="28"/>
        </w:rPr>
        <w:t xml:space="preserve"> who revealed that STG activates redox-sensitive transcription factors leading to enhancing the expression and activities of SOD while down regulating NADPH oxidase so, maintaining the membrane integrity and restricting the leakage of CK-MB enzyme hence lowering activities of CK</w:t>
      </w:r>
      <w:r w:rsidR="00CE4720">
        <w:rPr>
          <w:rFonts w:asciiTheme="majorBidi" w:hAnsiTheme="majorBidi" w:cstheme="majorBidi"/>
          <w:sz w:val="28"/>
          <w:szCs w:val="28"/>
        </w:rPr>
        <w:t xml:space="preserve">-MB and LDH enzyme in the serum. </w:t>
      </w:r>
      <w:r w:rsidRPr="00CE4720">
        <w:rPr>
          <w:rFonts w:asciiTheme="majorBidi" w:eastAsia="Calibri" w:hAnsiTheme="majorBidi" w:cstheme="majorBidi"/>
          <w:sz w:val="28"/>
          <w:szCs w:val="28"/>
        </w:rPr>
        <w:t xml:space="preserve"> </w:t>
      </w:r>
      <w:r w:rsidR="00BA6EB4" w:rsidRPr="00CE4720">
        <w:rPr>
          <w:rFonts w:asciiTheme="majorBidi" w:hAnsiTheme="majorBidi" w:cstheme="majorBidi"/>
          <w:sz w:val="28"/>
          <w:szCs w:val="28"/>
        </w:rPr>
        <w:t>Noteworthy, there were a non-</w:t>
      </w:r>
      <w:r w:rsidRPr="00CE4720">
        <w:rPr>
          <w:rFonts w:asciiTheme="majorBidi" w:hAnsiTheme="majorBidi" w:cstheme="majorBidi"/>
          <w:sz w:val="28"/>
          <w:szCs w:val="28"/>
        </w:rPr>
        <w:t>significant changes</w:t>
      </w:r>
      <w:r w:rsidR="00CE4720" w:rsidRPr="00CE4720">
        <w:rPr>
          <w:rFonts w:asciiTheme="majorBidi" w:hAnsiTheme="majorBidi" w:cstheme="majorBidi"/>
          <w:sz w:val="28"/>
          <w:szCs w:val="28"/>
        </w:rPr>
        <w:t xml:space="preserve"> in all parameters</w:t>
      </w:r>
      <w:r w:rsidRPr="00CE4720">
        <w:rPr>
          <w:rFonts w:asciiTheme="majorBidi" w:hAnsiTheme="majorBidi" w:cstheme="majorBidi"/>
          <w:sz w:val="28"/>
          <w:szCs w:val="28"/>
        </w:rPr>
        <w:t xml:space="preserve"> between STG</w:t>
      </w:r>
      <w:r w:rsidR="00CE4720" w:rsidRPr="00CE4720">
        <w:rPr>
          <w:rFonts w:asciiTheme="majorBidi" w:hAnsiTheme="majorBidi" w:cstheme="majorBidi"/>
          <w:sz w:val="28"/>
          <w:szCs w:val="28"/>
        </w:rPr>
        <w:t xml:space="preserve"> </w:t>
      </w:r>
      <w:r w:rsidRPr="00CE4720">
        <w:rPr>
          <w:rFonts w:asciiTheme="majorBidi" w:hAnsiTheme="majorBidi" w:cstheme="majorBidi"/>
          <w:sz w:val="28"/>
          <w:szCs w:val="28"/>
        </w:rPr>
        <w:t>group and control group  except in cardiac level of NO which had significant increase in the STG group (20.14 ± 2.23) when compared to t</w:t>
      </w:r>
      <w:r w:rsidR="006E2D09" w:rsidRPr="00CE4720">
        <w:rPr>
          <w:rFonts w:asciiTheme="majorBidi" w:hAnsiTheme="majorBidi" w:cstheme="majorBidi"/>
          <w:sz w:val="28"/>
          <w:szCs w:val="28"/>
        </w:rPr>
        <w:t>he control group (12.40 ± 1.74)</w:t>
      </w:r>
      <w:r w:rsidRPr="00CE4720">
        <w:rPr>
          <w:rFonts w:asciiTheme="majorBidi" w:hAnsiTheme="majorBidi" w:cstheme="majorBidi"/>
          <w:sz w:val="28"/>
          <w:szCs w:val="28"/>
        </w:rPr>
        <w:t xml:space="preserve"> as (P&lt;0.05) as </w:t>
      </w:r>
      <w:r w:rsidR="00F274D6" w:rsidRPr="00CE4720">
        <w:rPr>
          <w:rFonts w:asciiTheme="majorBidi" w:hAnsiTheme="majorBidi" w:cstheme="majorBidi"/>
          <w:sz w:val="28"/>
          <w:szCs w:val="28"/>
        </w:rPr>
        <w:t>seen in (Table 1</w:t>
      </w:r>
      <w:r w:rsidRPr="00CE4720">
        <w:rPr>
          <w:rFonts w:asciiTheme="majorBidi" w:hAnsiTheme="majorBidi" w:cstheme="majorBidi"/>
          <w:sz w:val="28"/>
          <w:szCs w:val="28"/>
        </w:rPr>
        <w:t>) denoting the powerful antioxidant properties of STG.</w:t>
      </w:r>
    </w:p>
    <w:p w:rsidR="009149C2" w:rsidRPr="00571A5F" w:rsidRDefault="009149C2" w:rsidP="008C1381">
      <w:pPr>
        <w:bidi w:val="0"/>
        <w:adjustRightInd w:val="0"/>
        <w:spacing w:line="360" w:lineRule="auto"/>
        <w:ind w:firstLine="720"/>
        <w:jc w:val="both"/>
        <w:rPr>
          <w:rFonts w:asciiTheme="majorBidi" w:hAnsiTheme="majorBidi" w:cstheme="majorBidi"/>
          <w:color w:val="000000"/>
          <w:sz w:val="28"/>
          <w:szCs w:val="28"/>
          <w:shd w:val="clear" w:color="auto" w:fill="FFFFFF"/>
        </w:rPr>
      </w:pPr>
      <w:r w:rsidRPr="00571A5F">
        <w:rPr>
          <w:rFonts w:asciiTheme="majorBidi" w:hAnsiTheme="majorBidi" w:cstheme="majorBidi"/>
          <w:color w:val="000000"/>
          <w:sz w:val="28"/>
          <w:szCs w:val="28"/>
          <w:shd w:val="clear" w:color="auto" w:fill="FFFFFF"/>
        </w:rPr>
        <w:t xml:space="preserve">Furthermore, </w:t>
      </w:r>
      <w:r w:rsidR="008C1381">
        <w:rPr>
          <w:rFonts w:asciiTheme="majorBidi" w:hAnsiTheme="majorBidi" w:cstheme="majorBidi"/>
          <w:color w:val="000000"/>
          <w:sz w:val="28"/>
          <w:szCs w:val="28"/>
          <w:shd w:val="clear" w:color="auto" w:fill="FFFFFF"/>
        </w:rPr>
        <w:t>our</w:t>
      </w:r>
      <w:r w:rsidRPr="00571A5F">
        <w:rPr>
          <w:rFonts w:asciiTheme="majorBidi" w:hAnsiTheme="majorBidi" w:cstheme="majorBidi"/>
          <w:color w:val="000000"/>
          <w:sz w:val="28"/>
          <w:szCs w:val="28"/>
          <w:shd w:val="clear" w:color="auto" w:fill="FFFFFF"/>
        </w:rPr>
        <w:t xml:space="preserve"> current study indicated that DIC was associated with hypotension. This was evidenced by the significant decreases in SBP and DBP levels in the DOX group </w:t>
      </w:r>
      <w:bookmarkStart w:id="32" w:name="OLE_LINK70"/>
      <w:bookmarkStart w:id="33" w:name="OLE_LINK71"/>
      <w:r w:rsidRPr="00571A5F">
        <w:rPr>
          <w:rFonts w:asciiTheme="majorBidi" w:hAnsiTheme="majorBidi" w:cstheme="majorBidi"/>
          <w:color w:val="000000"/>
          <w:sz w:val="28"/>
          <w:szCs w:val="28"/>
        </w:rPr>
        <w:t xml:space="preserve">(82.17 ± 5.49) and (45.67 ± 6.77) </w:t>
      </w:r>
      <w:bookmarkStart w:id="34" w:name="OLE_LINK19"/>
      <w:bookmarkStart w:id="35" w:name="OLE_LINK20"/>
      <w:r w:rsidRPr="00571A5F">
        <w:rPr>
          <w:rFonts w:asciiTheme="majorBidi" w:hAnsiTheme="majorBidi" w:cstheme="majorBidi"/>
          <w:color w:val="000000"/>
          <w:sz w:val="28"/>
          <w:szCs w:val="28"/>
        </w:rPr>
        <w:t xml:space="preserve">respectively </w:t>
      </w:r>
      <w:bookmarkEnd w:id="32"/>
      <w:bookmarkEnd w:id="33"/>
      <w:bookmarkEnd w:id="34"/>
      <w:bookmarkEnd w:id="35"/>
      <w:r w:rsidRPr="00571A5F">
        <w:rPr>
          <w:rFonts w:asciiTheme="majorBidi" w:hAnsiTheme="majorBidi" w:cstheme="majorBidi"/>
          <w:color w:val="000000"/>
          <w:sz w:val="28"/>
          <w:szCs w:val="28"/>
          <w:shd w:val="clear" w:color="auto" w:fill="FFFFFF"/>
        </w:rPr>
        <w:t xml:space="preserve">when compared to control group </w:t>
      </w:r>
      <w:r w:rsidRPr="00571A5F">
        <w:rPr>
          <w:rFonts w:asciiTheme="majorBidi" w:hAnsiTheme="majorBidi" w:cstheme="majorBidi"/>
          <w:color w:val="000000"/>
          <w:sz w:val="28"/>
          <w:szCs w:val="28"/>
        </w:rPr>
        <w:t>(116.83 ± 4.71) and (77.83 ± 4.53) respectively</w:t>
      </w:r>
      <w:r w:rsidR="00CE4720">
        <w:rPr>
          <w:rFonts w:asciiTheme="majorBidi" w:hAnsiTheme="majorBidi" w:cstheme="majorBidi"/>
          <w:color w:val="000000"/>
          <w:sz w:val="28"/>
          <w:szCs w:val="28"/>
          <w:shd w:val="clear" w:color="auto" w:fill="FFFFFF"/>
        </w:rPr>
        <w:t xml:space="preserve"> </w:t>
      </w:r>
      <w:r w:rsidRPr="00571A5F">
        <w:rPr>
          <w:rFonts w:asciiTheme="majorBidi" w:hAnsiTheme="majorBidi" w:cstheme="majorBidi"/>
          <w:color w:val="000000"/>
          <w:sz w:val="28"/>
          <w:szCs w:val="28"/>
          <w:shd w:val="clear" w:color="auto" w:fill="FFFFFF"/>
        </w:rPr>
        <w:t>as see</w:t>
      </w:r>
      <w:r w:rsidR="00F274D6" w:rsidRPr="00571A5F">
        <w:rPr>
          <w:rFonts w:asciiTheme="majorBidi" w:hAnsiTheme="majorBidi" w:cstheme="majorBidi"/>
          <w:color w:val="000000"/>
          <w:sz w:val="28"/>
          <w:szCs w:val="28"/>
          <w:shd w:val="clear" w:color="auto" w:fill="FFFFFF"/>
        </w:rPr>
        <w:t>n in (Table 1</w:t>
      </w:r>
      <w:r w:rsidRPr="00571A5F">
        <w:rPr>
          <w:rFonts w:asciiTheme="majorBidi" w:hAnsiTheme="majorBidi" w:cstheme="majorBidi"/>
          <w:color w:val="000000"/>
          <w:sz w:val="28"/>
          <w:szCs w:val="28"/>
          <w:shd w:val="clear" w:color="auto" w:fill="FFFFFF"/>
        </w:rPr>
        <w:t>).</w:t>
      </w:r>
      <w:r w:rsidRPr="00571A5F">
        <w:rPr>
          <w:rFonts w:asciiTheme="majorBidi" w:hAnsiTheme="majorBidi" w:cstheme="majorBidi"/>
          <w:color w:val="000000"/>
          <w:sz w:val="28"/>
          <w:szCs w:val="28"/>
          <w:lang w:bidi="ar-EG"/>
        </w:rPr>
        <w:t xml:space="preserve"> </w:t>
      </w:r>
      <w:r w:rsidRPr="00571A5F">
        <w:rPr>
          <w:rFonts w:asciiTheme="majorBidi" w:hAnsiTheme="majorBidi" w:cstheme="majorBidi"/>
          <w:color w:val="000000"/>
          <w:sz w:val="28"/>
          <w:szCs w:val="28"/>
          <w:shd w:val="clear" w:color="auto" w:fill="FFFFFF"/>
        </w:rPr>
        <w:t>With supporting of our finding,</w:t>
      </w:r>
      <w:r w:rsidRPr="00571A5F">
        <w:rPr>
          <w:rFonts w:asciiTheme="majorBidi" w:hAnsiTheme="majorBidi" w:cstheme="majorBidi"/>
          <w:color w:val="000000"/>
          <w:sz w:val="28"/>
          <w:szCs w:val="28"/>
        </w:rPr>
        <w:t xml:space="preserve"> </w:t>
      </w:r>
      <w:r w:rsidR="001708EB" w:rsidRPr="00571A5F">
        <w:rPr>
          <w:rFonts w:asciiTheme="majorBidi" w:hAnsiTheme="majorBidi" w:cstheme="majorBidi"/>
          <w:b/>
          <w:bCs/>
          <w:color w:val="000000"/>
          <w:sz w:val="28"/>
          <w:szCs w:val="28"/>
          <w:shd w:val="clear" w:color="auto" w:fill="FFFFFF"/>
        </w:rPr>
        <w:t>(</w:t>
      </w:r>
      <w:r w:rsidR="008C1381">
        <w:rPr>
          <w:rFonts w:asciiTheme="majorBidi" w:hAnsiTheme="majorBidi" w:cstheme="majorBidi"/>
          <w:b/>
          <w:bCs/>
          <w:color w:val="000000"/>
          <w:sz w:val="28"/>
          <w:szCs w:val="28"/>
          <w:shd w:val="clear" w:color="auto" w:fill="FFFFFF"/>
        </w:rPr>
        <w:t>19</w:t>
      </w:r>
      <w:r w:rsidRPr="00571A5F">
        <w:rPr>
          <w:rFonts w:asciiTheme="majorBidi" w:hAnsiTheme="majorBidi" w:cstheme="majorBidi"/>
          <w:b/>
          <w:bCs/>
          <w:color w:val="000000"/>
          <w:sz w:val="28"/>
          <w:szCs w:val="28"/>
          <w:shd w:val="clear" w:color="auto" w:fill="FFFFFF"/>
        </w:rPr>
        <w:t xml:space="preserve">) </w:t>
      </w:r>
      <w:r w:rsidRPr="00571A5F">
        <w:rPr>
          <w:rFonts w:asciiTheme="majorBidi" w:hAnsiTheme="majorBidi" w:cstheme="majorBidi"/>
          <w:color w:val="000000"/>
          <w:sz w:val="28"/>
          <w:szCs w:val="28"/>
          <w:shd w:val="clear" w:color="auto" w:fill="FFFFFF"/>
        </w:rPr>
        <w:t>who</w:t>
      </w:r>
      <w:r w:rsidRPr="00571A5F">
        <w:rPr>
          <w:rFonts w:asciiTheme="majorBidi" w:hAnsiTheme="majorBidi" w:cstheme="majorBidi"/>
          <w:b/>
          <w:bCs/>
          <w:color w:val="000000"/>
          <w:sz w:val="28"/>
          <w:szCs w:val="28"/>
          <w:shd w:val="clear" w:color="auto" w:fill="FFFFFF"/>
        </w:rPr>
        <w:t xml:space="preserve"> </w:t>
      </w:r>
      <w:r w:rsidRPr="00571A5F">
        <w:rPr>
          <w:rFonts w:asciiTheme="majorBidi" w:hAnsiTheme="majorBidi" w:cstheme="majorBidi"/>
          <w:color w:val="000000"/>
          <w:sz w:val="28"/>
          <w:szCs w:val="28"/>
          <w:lang w:bidi="ar-EG"/>
        </w:rPr>
        <w:t xml:space="preserve">had reported </w:t>
      </w:r>
      <w:r w:rsidRPr="00571A5F">
        <w:rPr>
          <w:rFonts w:asciiTheme="majorBidi" w:hAnsiTheme="majorBidi" w:cstheme="majorBidi"/>
          <w:color w:val="000000"/>
          <w:sz w:val="28"/>
          <w:szCs w:val="28"/>
          <w:shd w:val="clear" w:color="auto" w:fill="FFFFFF"/>
        </w:rPr>
        <w:t xml:space="preserve">that DOX resulted in decrease in both SBP and DBP. </w:t>
      </w:r>
      <w:r w:rsidRPr="00571A5F">
        <w:rPr>
          <w:rFonts w:asciiTheme="majorBidi" w:hAnsiTheme="majorBidi" w:cstheme="majorBidi"/>
          <w:color w:val="000000"/>
          <w:sz w:val="28"/>
          <w:szCs w:val="28"/>
        </w:rPr>
        <w:t>This</w:t>
      </w:r>
      <w:r w:rsidRPr="00571A5F">
        <w:rPr>
          <w:rFonts w:asciiTheme="majorBidi" w:hAnsiTheme="majorBidi" w:cstheme="majorBidi"/>
          <w:color w:val="000000"/>
          <w:sz w:val="28"/>
          <w:szCs w:val="28"/>
          <w:shd w:val="clear" w:color="auto" w:fill="FFFFFF"/>
        </w:rPr>
        <w:t xml:space="preserve"> could be explained by that chronic administration of DOX leads to both systolic and diastolic heart failure decreasing both SBP and DBP </w:t>
      </w:r>
      <w:r w:rsidR="008C1381">
        <w:rPr>
          <w:rFonts w:asciiTheme="majorBidi" w:hAnsiTheme="majorBidi" w:cstheme="majorBidi"/>
          <w:b/>
          <w:bCs/>
          <w:color w:val="000000"/>
          <w:sz w:val="28"/>
          <w:szCs w:val="28"/>
          <w:shd w:val="clear" w:color="auto" w:fill="FFFFFF"/>
        </w:rPr>
        <w:t>(20</w:t>
      </w:r>
      <w:r w:rsidRPr="00571A5F">
        <w:rPr>
          <w:rFonts w:asciiTheme="majorBidi" w:hAnsiTheme="majorBidi" w:cstheme="majorBidi"/>
          <w:b/>
          <w:bCs/>
          <w:color w:val="000000"/>
          <w:sz w:val="28"/>
          <w:szCs w:val="28"/>
          <w:shd w:val="clear" w:color="auto" w:fill="FFFFFF"/>
        </w:rPr>
        <w:t>).</w:t>
      </w:r>
      <w:r w:rsidRPr="00571A5F">
        <w:rPr>
          <w:rFonts w:asciiTheme="majorBidi" w:hAnsiTheme="majorBidi" w:cstheme="majorBidi"/>
          <w:color w:val="000000"/>
          <w:sz w:val="28"/>
          <w:szCs w:val="28"/>
          <w:shd w:val="clear" w:color="auto" w:fill="FFFFFF"/>
        </w:rPr>
        <w:t xml:space="preserve"> </w:t>
      </w:r>
      <w:r w:rsidRPr="00571A5F">
        <w:rPr>
          <w:rFonts w:asciiTheme="majorBidi" w:hAnsiTheme="majorBidi" w:cstheme="majorBidi"/>
          <w:color w:val="000000"/>
          <w:sz w:val="28"/>
          <w:szCs w:val="28"/>
        </w:rPr>
        <w:t>DIC also</w:t>
      </w:r>
      <w:r w:rsidRPr="00571A5F">
        <w:rPr>
          <w:rFonts w:asciiTheme="majorBidi" w:hAnsiTheme="majorBidi" w:cstheme="majorBidi"/>
          <w:color w:val="000000"/>
          <w:sz w:val="28"/>
          <w:szCs w:val="28"/>
          <w:shd w:val="clear" w:color="auto" w:fill="FFFFFF"/>
        </w:rPr>
        <w:t xml:space="preserve"> leads to increase in iNOS levels which is responsible for the production of shock-inducing</w:t>
      </w:r>
      <w:r w:rsidRPr="00571A5F">
        <w:rPr>
          <w:rFonts w:asciiTheme="majorBidi" w:hAnsiTheme="majorBidi" w:cstheme="majorBidi"/>
          <w:color w:val="000000"/>
          <w:sz w:val="28"/>
          <w:szCs w:val="28"/>
        </w:rPr>
        <w:t xml:space="preserve"> </w:t>
      </w:r>
      <w:r w:rsidRPr="00571A5F">
        <w:rPr>
          <w:rFonts w:asciiTheme="majorBidi" w:hAnsiTheme="majorBidi" w:cstheme="majorBidi"/>
          <w:color w:val="000000"/>
          <w:sz w:val="28"/>
          <w:szCs w:val="28"/>
          <w:shd w:val="clear" w:color="auto" w:fill="FFFFFF"/>
        </w:rPr>
        <w:t xml:space="preserve">NO that leads to sever vasodilatation and hypotension </w:t>
      </w:r>
      <w:r w:rsidRPr="00571A5F">
        <w:rPr>
          <w:rFonts w:asciiTheme="majorBidi" w:hAnsiTheme="majorBidi" w:cstheme="majorBidi"/>
          <w:b/>
          <w:bCs/>
          <w:color w:val="000000"/>
          <w:sz w:val="28"/>
          <w:szCs w:val="28"/>
          <w:shd w:val="clear" w:color="auto" w:fill="FFFFFF"/>
        </w:rPr>
        <w:t>(</w:t>
      </w:r>
      <w:r w:rsidR="008C1381">
        <w:rPr>
          <w:rFonts w:asciiTheme="majorBidi" w:hAnsiTheme="majorBidi" w:cstheme="majorBidi"/>
          <w:b/>
          <w:bCs/>
          <w:color w:val="000000"/>
          <w:sz w:val="28"/>
          <w:szCs w:val="28"/>
          <w:shd w:val="clear" w:color="auto" w:fill="FFFFFF"/>
        </w:rPr>
        <w:t>21</w:t>
      </w:r>
      <w:r w:rsidRPr="00571A5F">
        <w:rPr>
          <w:rFonts w:asciiTheme="majorBidi" w:hAnsiTheme="majorBidi" w:cstheme="majorBidi"/>
          <w:b/>
          <w:bCs/>
          <w:color w:val="000000"/>
          <w:sz w:val="28"/>
          <w:szCs w:val="28"/>
          <w:shd w:val="clear" w:color="auto" w:fill="FFFFFF"/>
        </w:rPr>
        <w:t>).</w:t>
      </w:r>
    </w:p>
    <w:p w:rsidR="009149C2" w:rsidRPr="00571A5F" w:rsidRDefault="009149C2" w:rsidP="00571A5F">
      <w:pPr>
        <w:bidi w:val="0"/>
        <w:adjustRightInd w:val="0"/>
        <w:spacing w:line="360" w:lineRule="auto"/>
        <w:ind w:firstLine="720"/>
        <w:jc w:val="both"/>
        <w:rPr>
          <w:rFonts w:asciiTheme="majorBidi" w:hAnsiTheme="majorBidi" w:cstheme="majorBidi"/>
          <w:color w:val="000000"/>
          <w:sz w:val="28"/>
          <w:szCs w:val="28"/>
          <w:shd w:val="clear" w:color="auto" w:fill="FFFFFF"/>
        </w:rPr>
      </w:pPr>
      <w:r w:rsidRPr="00571A5F">
        <w:rPr>
          <w:rFonts w:asciiTheme="majorBidi" w:hAnsiTheme="majorBidi" w:cstheme="majorBidi"/>
          <w:color w:val="000000"/>
          <w:sz w:val="28"/>
          <w:szCs w:val="28"/>
        </w:rPr>
        <w:t xml:space="preserve">In addition, STG administration with a dose of 10 mg/kg/ day for 3weeks </w:t>
      </w:r>
      <w:r w:rsidRPr="00571A5F">
        <w:rPr>
          <w:rFonts w:asciiTheme="majorBidi" w:eastAsia="Calibri" w:hAnsiTheme="majorBidi" w:cstheme="majorBidi"/>
          <w:color w:val="000000"/>
          <w:sz w:val="28"/>
          <w:szCs w:val="28"/>
        </w:rPr>
        <w:t>with DOX at a dose of 15 mg/kg i.p for 3 weeks</w:t>
      </w:r>
      <w:r w:rsidRPr="00571A5F">
        <w:rPr>
          <w:rFonts w:asciiTheme="majorBidi" w:hAnsiTheme="majorBidi" w:cstheme="majorBidi"/>
          <w:color w:val="000000"/>
          <w:sz w:val="28"/>
          <w:szCs w:val="28"/>
        </w:rPr>
        <w:t xml:space="preserve"> led to an improvement in ABP. This was evidenced by </w:t>
      </w:r>
      <w:r w:rsidRPr="00571A5F">
        <w:rPr>
          <w:rFonts w:asciiTheme="majorBidi" w:hAnsiTheme="majorBidi" w:cstheme="majorBidi"/>
          <w:color w:val="000000"/>
          <w:sz w:val="28"/>
          <w:szCs w:val="28"/>
          <w:lang w:bidi="ar-EG"/>
        </w:rPr>
        <w:t xml:space="preserve">the significant increase in SBP and DBP up to normal in STG group </w:t>
      </w:r>
      <w:r w:rsidRPr="00571A5F">
        <w:rPr>
          <w:rFonts w:asciiTheme="majorBidi" w:hAnsiTheme="majorBidi" w:cstheme="majorBidi"/>
          <w:color w:val="000000"/>
          <w:sz w:val="28"/>
          <w:szCs w:val="28"/>
        </w:rPr>
        <w:t>(118 ± 5.10) and (78.67 ± 2.50) respectively</w:t>
      </w:r>
      <w:r w:rsidRPr="00571A5F">
        <w:rPr>
          <w:rFonts w:asciiTheme="majorBidi" w:hAnsiTheme="majorBidi" w:cstheme="majorBidi"/>
          <w:color w:val="000000"/>
          <w:sz w:val="28"/>
          <w:szCs w:val="28"/>
          <w:lang w:bidi="ar-EG"/>
        </w:rPr>
        <w:t xml:space="preserve"> when compared with DOX group </w:t>
      </w:r>
      <w:r w:rsidRPr="00571A5F">
        <w:rPr>
          <w:rFonts w:asciiTheme="majorBidi" w:hAnsiTheme="majorBidi" w:cstheme="majorBidi"/>
          <w:color w:val="000000"/>
          <w:sz w:val="28"/>
          <w:szCs w:val="28"/>
        </w:rPr>
        <w:t>(82.17 ± 5.49) and (45.67 ± 6.77) respectively</w:t>
      </w:r>
      <w:r w:rsidRPr="00571A5F">
        <w:rPr>
          <w:rFonts w:asciiTheme="majorBidi" w:hAnsiTheme="majorBidi" w:cstheme="majorBidi"/>
          <w:color w:val="000000"/>
          <w:sz w:val="28"/>
          <w:szCs w:val="28"/>
          <w:lang w:bidi="ar-EG"/>
        </w:rPr>
        <w:t xml:space="preserve"> as (P &lt;0.05) as seen in </w:t>
      </w:r>
      <w:r w:rsidR="00F274D6" w:rsidRPr="00571A5F">
        <w:rPr>
          <w:rFonts w:asciiTheme="majorBidi" w:hAnsiTheme="majorBidi" w:cstheme="majorBidi"/>
          <w:color w:val="000000"/>
          <w:sz w:val="28"/>
          <w:szCs w:val="28"/>
          <w:shd w:val="clear" w:color="auto" w:fill="FFFFFF"/>
        </w:rPr>
        <w:t>(Table 1</w:t>
      </w:r>
      <w:r w:rsidRPr="00571A5F">
        <w:rPr>
          <w:rFonts w:asciiTheme="majorBidi" w:hAnsiTheme="majorBidi" w:cstheme="majorBidi"/>
          <w:color w:val="000000"/>
          <w:sz w:val="28"/>
          <w:szCs w:val="28"/>
          <w:shd w:val="clear" w:color="auto" w:fill="FFFFFF"/>
        </w:rPr>
        <w:t xml:space="preserve">). </w:t>
      </w:r>
      <w:r w:rsidRPr="00571A5F">
        <w:rPr>
          <w:rFonts w:asciiTheme="majorBidi" w:hAnsiTheme="majorBidi" w:cstheme="majorBidi"/>
          <w:color w:val="000000"/>
          <w:sz w:val="28"/>
          <w:szCs w:val="28"/>
          <w:lang w:bidi="ar-EG"/>
        </w:rPr>
        <w:t>These</w:t>
      </w:r>
      <w:bookmarkStart w:id="36" w:name="OLE_LINK38"/>
      <w:bookmarkStart w:id="37" w:name="OLE_LINK39"/>
      <w:r w:rsidR="001708EB" w:rsidRPr="00571A5F">
        <w:rPr>
          <w:rFonts w:asciiTheme="majorBidi" w:hAnsiTheme="majorBidi" w:cstheme="majorBidi"/>
          <w:color w:val="000000"/>
          <w:sz w:val="28"/>
          <w:szCs w:val="28"/>
        </w:rPr>
        <w:t xml:space="preserve"> data were consistent with </w:t>
      </w:r>
      <w:r w:rsidR="008C1381">
        <w:rPr>
          <w:rFonts w:asciiTheme="majorBidi" w:hAnsiTheme="majorBidi" w:cstheme="majorBidi"/>
          <w:b/>
          <w:bCs/>
          <w:color w:val="000000"/>
          <w:sz w:val="28"/>
          <w:szCs w:val="28"/>
        </w:rPr>
        <w:t>(22</w:t>
      </w:r>
      <w:r w:rsidRPr="00571A5F">
        <w:rPr>
          <w:rFonts w:asciiTheme="majorBidi" w:hAnsiTheme="majorBidi" w:cstheme="majorBidi"/>
          <w:b/>
          <w:bCs/>
          <w:color w:val="000000"/>
          <w:sz w:val="28"/>
          <w:szCs w:val="28"/>
        </w:rPr>
        <w:t>)</w:t>
      </w:r>
      <w:r w:rsidRPr="00571A5F">
        <w:rPr>
          <w:rFonts w:asciiTheme="majorBidi" w:hAnsiTheme="majorBidi" w:cstheme="majorBidi"/>
          <w:color w:val="000000"/>
          <w:sz w:val="28"/>
          <w:szCs w:val="28"/>
        </w:rPr>
        <w:t xml:space="preserve"> </w:t>
      </w:r>
      <w:bookmarkEnd w:id="36"/>
      <w:bookmarkEnd w:id="37"/>
      <w:r w:rsidRPr="00571A5F">
        <w:rPr>
          <w:rFonts w:asciiTheme="majorBidi" w:hAnsiTheme="majorBidi" w:cstheme="majorBidi"/>
          <w:color w:val="000000"/>
          <w:sz w:val="28"/>
          <w:szCs w:val="28"/>
        </w:rPr>
        <w:t>who had found that when rats were pretreated with STG leads to elevated blood pressure levels of endotoxemic rats as lipopolysaccharide injection induced a severe septic shock condition with hypotensive blood pressure levels</w:t>
      </w:r>
      <w:r w:rsidRPr="00571A5F">
        <w:rPr>
          <w:rFonts w:asciiTheme="majorBidi" w:hAnsiTheme="majorBidi" w:cstheme="majorBidi"/>
          <w:color w:val="000000"/>
          <w:sz w:val="28"/>
          <w:szCs w:val="28"/>
          <w:lang w:bidi="ar-EG"/>
        </w:rPr>
        <w:t>. STG</w:t>
      </w:r>
      <w:r w:rsidRPr="00571A5F">
        <w:rPr>
          <w:rFonts w:asciiTheme="majorBidi" w:hAnsiTheme="majorBidi" w:cstheme="majorBidi"/>
          <w:color w:val="000000"/>
          <w:sz w:val="28"/>
          <w:szCs w:val="28"/>
        </w:rPr>
        <w:t xml:space="preserve"> exerts its normotensive effects by decreasing iNOS activity (</w:t>
      </w:r>
      <w:r w:rsidR="008C1381">
        <w:rPr>
          <w:rFonts w:asciiTheme="majorBidi" w:hAnsiTheme="majorBidi" w:cstheme="majorBidi"/>
          <w:b/>
          <w:bCs/>
          <w:color w:val="000000"/>
          <w:sz w:val="28"/>
          <w:szCs w:val="28"/>
        </w:rPr>
        <w:t>22</w:t>
      </w:r>
      <w:r w:rsidRPr="00571A5F">
        <w:rPr>
          <w:rFonts w:asciiTheme="majorBidi" w:hAnsiTheme="majorBidi" w:cstheme="majorBidi"/>
          <w:b/>
          <w:bCs/>
          <w:color w:val="000000"/>
          <w:sz w:val="28"/>
          <w:szCs w:val="28"/>
        </w:rPr>
        <w:t>)</w:t>
      </w:r>
      <w:r w:rsidRPr="00571A5F">
        <w:rPr>
          <w:rFonts w:asciiTheme="majorBidi" w:hAnsiTheme="majorBidi" w:cstheme="majorBidi"/>
          <w:color w:val="000000"/>
          <w:sz w:val="28"/>
          <w:szCs w:val="28"/>
        </w:rPr>
        <w:t xml:space="preserve"> which extremely increases in pathological conditions </w:t>
      </w:r>
      <w:r w:rsidRPr="00571A5F">
        <w:rPr>
          <w:rFonts w:asciiTheme="majorBidi" w:hAnsiTheme="majorBidi" w:cstheme="majorBidi"/>
          <w:color w:val="000000"/>
          <w:sz w:val="28"/>
          <w:szCs w:val="28"/>
          <w:lang w:bidi="ar-EG"/>
        </w:rPr>
        <w:t>like</w:t>
      </w:r>
      <w:r w:rsidRPr="00571A5F">
        <w:rPr>
          <w:rFonts w:asciiTheme="majorBidi" w:hAnsiTheme="majorBidi" w:cstheme="majorBidi"/>
          <w:color w:val="000000"/>
          <w:sz w:val="28"/>
          <w:szCs w:val="28"/>
        </w:rPr>
        <w:t xml:space="preserve"> DIC. </w:t>
      </w:r>
      <w:r w:rsidRPr="00571A5F">
        <w:rPr>
          <w:rFonts w:asciiTheme="majorBidi" w:hAnsiTheme="majorBidi" w:cstheme="majorBidi"/>
          <w:color w:val="000000"/>
          <w:sz w:val="28"/>
          <w:szCs w:val="28"/>
          <w:lang w:bidi="ar-EG"/>
        </w:rPr>
        <w:t>STG also has anti-hypertensive effects mainly relying on improving endothelial functions as it decreases endothelium dependent contractions to relieve hypertension related vascular events, decreases urinary angiotensinogen and renal cortical concentration of angiotensin II</w:t>
      </w:r>
      <w:r w:rsidRPr="00571A5F">
        <w:rPr>
          <w:rFonts w:asciiTheme="majorBidi" w:hAnsiTheme="majorBidi" w:cstheme="majorBidi"/>
          <w:color w:val="000000"/>
          <w:sz w:val="28"/>
          <w:szCs w:val="28"/>
          <w:shd w:val="clear" w:color="auto" w:fill="FFFFFF"/>
        </w:rPr>
        <w:t xml:space="preserve"> (</w:t>
      </w:r>
      <w:r w:rsidR="008C1381">
        <w:rPr>
          <w:rFonts w:asciiTheme="majorBidi" w:hAnsiTheme="majorBidi" w:cstheme="majorBidi"/>
          <w:b/>
          <w:bCs/>
          <w:color w:val="000000"/>
          <w:sz w:val="28"/>
          <w:szCs w:val="28"/>
        </w:rPr>
        <w:t>23</w:t>
      </w:r>
      <w:r w:rsidRPr="00571A5F">
        <w:rPr>
          <w:rFonts w:asciiTheme="majorBidi" w:hAnsiTheme="majorBidi" w:cstheme="majorBidi"/>
          <w:b/>
          <w:bCs/>
          <w:color w:val="000000"/>
          <w:sz w:val="28"/>
          <w:szCs w:val="28"/>
        </w:rPr>
        <w:t>)</w:t>
      </w:r>
      <w:r w:rsidRPr="00571A5F">
        <w:rPr>
          <w:rFonts w:asciiTheme="majorBidi" w:hAnsiTheme="majorBidi" w:cstheme="majorBidi"/>
          <w:color w:val="000000"/>
          <w:sz w:val="28"/>
          <w:szCs w:val="28"/>
          <w:lang w:bidi="ar-EG"/>
        </w:rPr>
        <w:t>.</w:t>
      </w:r>
    </w:p>
    <w:p w:rsidR="009B3CA1" w:rsidRPr="00571A5F" w:rsidRDefault="009149C2" w:rsidP="00571A5F">
      <w:pPr>
        <w:bidi w:val="0"/>
        <w:adjustRightInd w:val="0"/>
        <w:spacing w:line="360" w:lineRule="auto"/>
        <w:ind w:firstLine="720"/>
        <w:jc w:val="both"/>
        <w:rPr>
          <w:rFonts w:asciiTheme="majorBidi" w:eastAsia="Calibri" w:hAnsiTheme="majorBidi" w:cstheme="majorBidi"/>
          <w:color w:val="000000"/>
          <w:sz w:val="28"/>
          <w:szCs w:val="28"/>
        </w:rPr>
      </w:pPr>
      <w:r w:rsidRPr="00571A5F">
        <w:rPr>
          <w:rFonts w:asciiTheme="majorBidi" w:eastAsia="Calibri" w:hAnsiTheme="majorBidi" w:cstheme="majorBidi"/>
          <w:color w:val="000000"/>
          <w:sz w:val="28"/>
          <w:szCs w:val="28"/>
        </w:rPr>
        <w:t>Fina</w:t>
      </w:r>
      <w:r w:rsidR="00AA5D9F">
        <w:rPr>
          <w:rFonts w:asciiTheme="majorBidi" w:eastAsia="Calibri" w:hAnsiTheme="majorBidi" w:cstheme="majorBidi"/>
          <w:color w:val="000000"/>
          <w:sz w:val="28"/>
          <w:szCs w:val="28"/>
        </w:rPr>
        <w:t>lly, in the present study</w:t>
      </w:r>
      <w:r w:rsidRPr="00571A5F">
        <w:rPr>
          <w:rFonts w:asciiTheme="majorBidi" w:eastAsia="Calibri" w:hAnsiTheme="majorBidi" w:cstheme="majorBidi"/>
          <w:color w:val="000000"/>
          <w:sz w:val="28"/>
          <w:szCs w:val="28"/>
        </w:rPr>
        <w:t xml:space="preserve"> when STG was supplemented with L-NAME and</w:t>
      </w:r>
      <w:r w:rsidR="00AA5D9F">
        <w:rPr>
          <w:rFonts w:asciiTheme="majorBidi" w:eastAsia="Calibri" w:hAnsiTheme="majorBidi" w:cstheme="majorBidi"/>
          <w:color w:val="000000"/>
          <w:sz w:val="28"/>
          <w:szCs w:val="28"/>
        </w:rPr>
        <w:t xml:space="preserve"> DOX in STG+ L-NAME group this </w:t>
      </w:r>
      <w:r w:rsidRPr="00571A5F">
        <w:rPr>
          <w:rFonts w:asciiTheme="majorBidi" w:eastAsia="Calibri" w:hAnsiTheme="majorBidi" w:cstheme="majorBidi"/>
          <w:color w:val="000000"/>
          <w:sz w:val="28"/>
          <w:szCs w:val="28"/>
        </w:rPr>
        <w:t xml:space="preserve">resulted in significant </w:t>
      </w:r>
      <w:r w:rsidRPr="00571A5F">
        <w:rPr>
          <w:rFonts w:asciiTheme="majorBidi" w:hAnsiTheme="majorBidi" w:cstheme="majorBidi"/>
          <w:color w:val="000000"/>
          <w:sz w:val="28"/>
          <w:szCs w:val="28"/>
        </w:rPr>
        <w:t>increases in serum CK-MB and LDH levels (610.33 ± 32.46) and (332.17 ±</w:t>
      </w:r>
      <w:r w:rsidR="00AA5D9F">
        <w:rPr>
          <w:rFonts w:asciiTheme="majorBidi" w:hAnsiTheme="majorBidi" w:cstheme="majorBidi"/>
          <w:color w:val="000000"/>
          <w:sz w:val="28"/>
          <w:szCs w:val="28"/>
        </w:rPr>
        <w:t xml:space="preserve"> 37.51) respectively</w:t>
      </w:r>
      <w:r w:rsidRPr="00571A5F">
        <w:rPr>
          <w:rFonts w:asciiTheme="majorBidi" w:hAnsiTheme="majorBidi" w:cstheme="majorBidi"/>
          <w:color w:val="000000"/>
          <w:sz w:val="28"/>
          <w:szCs w:val="28"/>
        </w:rPr>
        <w:t xml:space="preserve"> with significant </w:t>
      </w:r>
      <w:r w:rsidRPr="00571A5F">
        <w:rPr>
          <w:rFonts w:asciiTheme="majorBidi" w:eastAsia="Calibri" w:hAnsiTheme="majorBidi" w:cstheme="majorBidi"/>
          <w:color w:val="000000"/>
          <w:sz w:val="28"/>
          <w:szCs w:val="28"/>
        </w:rPr>
        <w:t>dec</w:t>
      </w:r>
      <w:r w:rsidR="00AA5D9F">
        <w:rPr>
          <w:rFonts w:asciiTheme="majorBidi" w:eastAsia="Calibri" w:hAnsiTheme="majorBidi" w:cstheme="majorBidi"/>
          <w:color w:val="000000"/>
          <w:sz w:val="28"/>
          <w:szCs w:val="28"/>
        </w:rPr>
        <w:t>rease</w:t>
      </w:r>
      <w:r w:rsidRPr="00571A5F">
        <w:rPr>
          <w:rFonts w:asciiTheme="majorBidi" w:eastAsia="Calibri" w:hAnsiTheme="majorBidi" w:cstheme="majorBidi"/>
          <w:color w:val="000000"/>
          <w:sz w:val="28"/>
          <w:szCs w:val="28"/>
        </w:rPr>
        <w:t xml:space="preserve"> in cardiac level of NO and serum level of SOD </w:t>
      </w:r>
      <w:r w:rsidRPr="00571A5F">
        <w:rPr>
          <w:rFonts w:asciiTheme="majorBidi" w:hAnsiTheme="majorBidi" w:cstheme="majorBidi"/>
          <w:color w:val="000000"/>
          <w:sz w:val="28"/>
          <w:szCs w:val="28"/>
        </w:rPr>
        <w:t xml:space="preserve">(6.24 ± 1.49) and (5.57 ± 1.29)  respectively </w:t>
      </w:r>
      <w:r w:rsidRPr="00571A5F">
        <w:rPr>
          <w:rFonts w:asciiTheme="majorBidi" w:eastAsia="Calibri" w:hAnsiTheme="majorBidi" w:cstheme="majorBidi"/>
          <w:color w:val="000000"/>
          <w:sz w:val="28"/>
          <w:szCs w:val="28"/>
        </w:rPr>
        <w:t xml:space="preserve">that was coupled by significant increase in the serum level of MDA  </w:t>
      </w:r>
      <w:r w:rsidRPr="00571A5F">
        <w:rPr>
          <w:rFonts w:asciiTheme="majorBidi" w:hAnsiTheme="majorBidi" w:cstheme="majorBidi"/>
          <w:color w:val="000000"/>
          <w:sz w:val="28"/>
          <w:szCs w:val="28"/>
        </w:rPr>
        <w:t xml:space="preserve">(2.73 ± 0.32) </w:t>
      </w:r>
      <w:r w:rsidRPr="00571A5F">
        <w:rPr>
          <w:rFonts w:asciiTheme="majorBidi" w:eastAsia="Calibri" w:hAnsiTheme="majorBidi" w:cstheme="majorBidi"/>
          <w:color w:val="000000"/>
          <w:sz w:val="28"/>
          <w:szCs w:val="28"/>
        </w:rPr>
        <w:t xml:space="preserve"> when compared to the STG group </w:t>
      </w:r>
      <w:bookmarkStart w:id="38" w:name="OLE_LINK60"/>
      <w:bookmarkStart w:id="39" w:name="OLE_LINK61"/>
      <w:r w:rsidRPr="00571A5F">
        <w:rPr>
          <w:rFonts w:asciiTheme="majorBidi" w:hAnsiTheme="majorBidi" w:cstheme="majorBidi"/>
          <w:color w:val="000000"/>
          <w:sz w:val="28"/>
          <w:szCs w:val="28"/>
        </w:rPr>
        <w:t xml:space="preserve">(20.14 ± 2.23) </w:t>
      </w:r>
      <w:bookmarkEnd w:id="38"/>
      <w:bookmarkEnd w:id="39"/>
      <w:r w:rsidRPr="00571A5F">
        <w:rPr>
          <w:rFonts w:asciiTheme="majorBidi" w:hAnsiTheme="majorBidi" w:cstheme="majorBidi"/>
          <w:color w:val="000000"/>
          <w:sz w:val="28"/>
          <w:szCs w:val="28"/>
        </w:rPr>
        <w:t xml:space="preserve">&amp; (19.70 ± 1.84) &amp;(1.26 ± 0.24) </w:t>
      </w:r>
      <w:bookmarkStart w:id="40" w:name="OLE_LINK45"/>
      <w:bookmarkStart w:id="41" w:name="OLE_LINK52"/>
      <w:r w:rsidRPr="00571A5F">
        <w:rPr>
          <w:rFonts w:asciiTheme="majorBidi" w:hAnsiTheme="majorBidi" w:cstheme="majorBidi"/>
          <w:color w:val="000000"/>
          <w:sz w:val="28"/>
          <w:szCs w:val="28"/>
        </w:rPr>
        <w:t>respectively</w:t>
      </w:r>
      <w:bookmarkEnd w:id="40"/>
      <w:bookmarkEnd w:id="41"/>
      <w:r w:rsidR="00AA5D9F">
        <w:rPr>
          <w:rFonts w:asciiTheme="majorBidi" w:hAnsiTheme="majorBidi" w:cstheme="majorBidi"/>
          <w:color w:val="000000"/>
          <w:sz w:val="28"/>
          <w:szCs w:val="28"/>
        </w:rPr>
        <w:t xml:space="preserve"> </w:t>
      </w:r>
      <w:r w:rsidRPr="00571A5F">
        <w:rPr>
          <w:rFonts w:asciiTheme="majorBidi" w:eastAsia="Calibri" w:hAnsiTheme="majorBidi" w:cstheme="majorBidi"/>
          <w:color w:val="000000"/>
          <w:sz w:val="28"/>
          <w:szCs w:val="28"/>
        </w:rPr>
        <w:t>and control group</w:t>
      </w:r>
      <w:bookmarkStart w:id="42" w:name="OLE_LINK58"/>
      <w:bookmarkStart w:id="43" w:name="OLE_LINK59"/>
      <w:r w:rsidR="00AA5D9F">
        <w:rPr>
          <w:rFonts w:asciiTheme="majorBidi" w:eastAsia="Calibri" w:hAnsiTheme="majorBidi" w:cstheme="majorBidi"/>
          <w:color w:val="000000"/>
          <w:sz w:val="28"/>
          <w:szCs w:val="28"/>
        </w:rPr>
        <w:t xml:space="preserve"> </w:t>
      </w:r>
      <w:r w:rsidRPr="00571A5F">
        <w:rPr>
          <w:rFonts w:asciiTheme="majorBidi" w:hAnsiTheme="majorBidi" w:cstheme="majorBidi"/>
          <w:color w:val="000000"/>
          <w:sz w:val="28"/>
          <w:szCs w:val="28"/>
        </w:rPr>
        <w:t xml:space="preserve">(12.40 ± 1.74)&amp; (14.13 ± 2.97 ) &amp;(1.90 ± 0.40) </w:t>
      </w:r>
      <w:bookmarkStart w:id="44" w:name="OLE_LINK57"/>
      <w:bookmarkStart w:id="45" w:name="OLE_LINK62"/>
      <w:bookmarkStart w:id="46" w:name="OLE_LINK81"/>
      <w:r w:rsidRPr="00571A5F">
        <w:rPr>
          <w:rFonts w:asciiTheme="majorBidi" w:hAnsiTheme="majorBidi" w:cstheme="majorBidi"/>
          <w:color w:val="000000"/>
          <w:sz w:val="28"/>
          <w:szCs w:val="28"/>
        </w:rPr>
        <w:t>respectively</w:t>
      </w:r>
      <w:bookmarkEnd w:id="42"/>
      <w:bookmarkEnd w:id="43"/>
      <w:bookmarkEnd w:id="44"/>
      <w:bookmarkEnd w:id="45"/>
      <w:bookmarkEnd w:id="46"/>
      <w:r w:rsidR="00CE4720">
        <w:rPr>
          <w:rFonts w:asciiTheme="majorBidi" w:hAnsiTheme="majorBidi" w:cstheme="majorBidi"/>
          <w:color w:val="FF0000"/>
          <w:sz w:val="28"/>
          <w:szCs w:val="28"/>
        </w:rPr>
        <w:t>.</w:t>
      </w:r>
      <w:r w:rsidRPr="00571A5F">
        <w:rPr>
          <w:rFonts w:asciiTheme="majorBidi" w:eastAsia="Calibri" w:hAnsiTheme="majorBidi" w:cstheme="majorBidi"/>
          <w:color w:val="000000"/>
          <w:sz w:val="28"/>
          <w:szCs w:val="28"/>
        </w:rPr>
        <w:t xml:space="preserve"> </w:t>
      </w:r>
    </w:p>
    <w:p w:rsidR="009149C2" w:rsidRPr="00AA5D9F" w:rsidRDefault="009149C2" w:rsidP="00571A5F">
      <w:pPr>
        <w:bidi w:val="0"/>
        <w:adjustRightInd w:val="0"/>
        <w:spacing w:line="360" w:lineRule="auto"/>
        <w:ind w:firstLine="720"/>
        <w:jc w:val="both"/>
        <w:rPr>
          <w:rFonts w:asciiTheme="majorBidi" w:hAnsiTheme="majorBidi" w:cstheme="majorBidi"/>
          <w:sz w:val="28"/>
          <w:szCs w:val="28"/>
          <w:lang w:bidi="ar-EG"/>
        </w:rPr>
      </w:pPr>
      <w:r w:rsidRPr="00AA5D9F">
        <w:rPr>
          <w:rFonts w:asciiTheme="majorBidi" w:hAnsiTheme="majorBidi" w:cstheme="majorBidi"/>
          <w:sz w:val="28"/>
          <w:szCs w:val="28"/>
        </w:rPr>
        <w:t xml:space="preserve">Moreover, there was </w:t>
      </w:r>
      <w:r w:rsidRPr="00AA5D9F">
        <w:rPr>
          <w:rFonts w:asciiTheme="majorBidi" w:hAnsiTheme="majorBidi" w:cstheme="majorBidi"/>
          <w:sz w:val="28"/>
          <w:szCs w:val="28"/>
          <w:shd w:val="clear" w:color="auto" w:fill="FFFFFF"/>
        </w:rPr>
        <w:t>significant decreases in SBP and DBP levels in the STG+ L-NAME group (85.33 ± 6.80) and (43 ± 5.80) respectively when compared to STG group</w:t>
      </w:r>
      <w:r w:rsidR="00CE4720" w:rsidRPr="00AA5D9F">
        <w:rPr>
          <w:rFonts w:asciiTheme="majorBidi" w:hAnsiTheme="majorBidi" w:cstheme="majorBidi"/>
          <w:sz w:val="28"/>
          <w:szCs w:val="28"/>
          <w:shd w:val="clear" w:color="auto" w:fill="FFFFFF"/>
        </w:rPr>
        <w:t xml:space="preserve"> </w:t>
      </w:r>
      <w:r w:rsidRPr="00AA5D9F">
        <w:rPr>
          <w:rFonts w:asciiTheme="majorBidi" w:hAnsiTheme="majorBidi" w:cstheme="majorBidi"/>
          <w:sz w:val="28"/>
          <w:szCs w:val="28"/>
          <w:shd w:val="clear" w:color="auto" w:fill="FFFFFF"/>
        </w:rPr>
        <w:t xml:space="preserve">(118 ± 5.10) &amp; (78.67 ± 2.50) </w:t>
      </w:r>
      <w:r w:rsidRPr="00AA5D9F">
        <w:rPr>
          <w:rFonts w:asciiTheme="majorBidi" w:hAnsiTheme="majorBidi" w:cstheme="majorBidi"/>
          <w:sz w:val="28"/>
          <w:szCs w:val="28"/>
        </w:rPr>
        <w:t>respectively</w:t>
      </w:r>
      <w:r w:rsidR="00CE4720" w:rsidRPr="00AA5D9F">
        <w:rPr>
          <w:rFonts w:asciiTheme="majorBidi" w:hAnsiTheme="majorBidi" w:cstheme="majorBidi"/>
          <w:sz w:val="28"/>
          <w:szCs w:val="28"/>
          <w:shd w:val="clear" w:color="auto" w:fill="FFFFFF"/>
        </w:rPr>
        <w:t xml:space="preserve"> </w:t>
      </w:r>
      <w:r w:rsidR="00AA5D9F" w:rsidRPr="00AA5D9F">
        <w:rPr>
          <w:rFonts w:asciiTheme="majorBidi" w:hAnsiTheme="majorBidi" w:cstheme="majorBidi"/>
          <w:sz w:val="28"/>
          <w:szCs w:val="28"/>
          <w:shd w:val="clear" w:color="auto" w:fill="FFFFFF"/>
        </w:rPr>
        <w:t xml:space="preserve">and control group </w:t>
      </w:r>
      <w:r w:rsidRPr="00AA5D9F">
        <w:rPr>
          <w:rFonts w:asciiTheme="majorBidi" w:hAnsiTheme="majorBidi" w:cstheme="majorBidi"/>
          <w:sz w:val="28"/>
          <w:szCs w:val="28"/>
          <w:shd w:val="clear" w:color="auto" w:fill="FFFFFF"/>
        </w:rPr>
        <w:t xml:space="preserve">(116.83 ± 4.71) &amp; (77.83 ± 4.53) </w:t>
      </w:r>
      <w:r w:rsidRPr="00AA5D9F">
        <w:rPr>
          <w:rFonts w:asciiTheme="majorBidi" w:hAnsiTheme="majorBidi" w:cstheme="majorBidi"/>
          <w:sz w:val="28"/>
          <w:szCs w:val="28"/>
        </w:rPr>
        <w:t>respectively</w:t>
      </w:r>
      <w:r w:rsidRPr="00AA5D9F">
        <w:rPr>
          <w:rFonts w:asciiTheme="majorBidi" w:hAnsiTheme="majorBidi" w:cstheme="majorBidi"/>
          <w:sz w:val="28"/>
          <w:szCs w:val="28"/>
          <w:shd w:val="clear" w:color="auto" w:fill="FFFFFF"/>
        </w:rPr>
        <w:t>.</w:t>
      </w:r>
      <w:r w:rsidRPr="00AA5D9F">
        <w:rPr>
          <w:rFonts w:asciiTheme="majorBidi" w:hAnsiTheme="majorBidi" w:cstheme="majorBidi"/>
          <w:sz w:val="28"/>
          <w:szCs w:val="28"/>
          <w:lang w:bidi="ar-EG"/>
        </w:rPr>
        <w:t xml:space="preserve"> </w:t>
      </w:r>
      <w:r w:rsidRPr="00AA5D9F">
        <w:rPr>
          <w:rFonts w:asciiTheme="majorBidi" w:eastAsia="Calibri" w:hAnsiTheme="majorBidi" w:cstheme="majorBidi"/>
          <w:sz w:val="28"/>
          <w:szCs w:val="28"/>
        </w:rPr>
        <w:t xml:space="preserve">This can be explained by L-NAME is a non-selective NOS inhibitor and inhibits the activities of the three NOS isoforms: e-NOS, inducible NOS (i-NOS) and neuronal NOS (n-NOS) </w:t>
      </w:r>
      <w:r w:rsidR="008C1381">
        <w:rPr>
          <w:rFonts w:asciiTheme="majorBidi" w:eastAsia="Calibri" w:hAnsiTheme="majorBidi" w:cstheme="majorBidi"/>
          <w:b/>
          <w:bCs/>
          <w:sz w:val="28"/>
          <w:szCs w:val="28"/>
        </w:rPr>
        <w:t>(24</w:t>
      </w:r>
      <w:r w:rsidRPr="00AA5D9F">
        <w:rPr>
          <w:rFonts w:asciiTheme="majorBidi" w:eastAsia="Calibri" w:hAnsiTheme="majorBidi" w:cstheme="majorBidi"/>
          <w:b/>
          <w:bCs/>
          <w:sz w:val="28"/>
          <w:szCs w:val="28"/>
        </w:rPr>
        <w:t>),</w:t>
      </w:r>
      <w:r w:rsidRPr="00AA5D9F">
        <w:rPr>
          <w:rFonts w:asciiTheme="majorBidi" w:eastAsia="Calibri" w:hAnsiTheme="majorBidi" w:cstheme="majorBidi"/>
          <w:sz w:val="28"/>
          <w:szCs w:val="28"/>
        </w:rPr>
        <w:t xml:space="preserve"> so L-NAME decreases NO and inhibit STG protective cardiac effects.  </w:t>
      </w:r>
    </w:p>
    <w:p w:rsidR="00BE1C07" w:rsidRPr="00571A5F" w:rsidRDefault="00BE1C07" w:rsidP="00571A5F">
      <w:pPr>
        <w:bidi w:val="0"/>
        <w:spacing w:line="360" w:lineRule="auto"/>
        <w:contextualSpacing/>
        <w:jc w:val="both"/>
        <w:rPr>
          <w:rFonts w:asciiTheme="majorBidi" w:hAnsiTheme="majorBidi" w:cstheme="majorBidi"/>
          <w:b/>
          <w:bCs/>
          <w:sz w:val="32"/>
          <w:szCs w:val="32"/>
          <w:lang w:bidi="ar-EG"/>
        </w:rPr>
      </w:pPr>
      <w:r w:rsidRPr="00571A5F">
        <w:rPr>
          <w:rFonts w:asciiTheme="majorBidi" w:hAnsiTheme="majorBidi" w:cstheme="majorBidi"/>
          <w:b/>
          <w:bCs/>
          <w:sz w:val="32"/>
          <w:szCs w:val="32"/>
          <w:lang w:bidi="ar-EG"/>
        </w:rPr>
        <w:t xml:space="preserve">5. </w:t>
      </w:r>
      <w:r w:rsidRPr="00571A5F">
        <w:rPr>
          <w:rFonts w:asciiTheme="majorBidi" w:hAnsiTheme="majorBidi" w:cstheme="majorBidi"/>
          <w:b/>
          <w:bCs/>
          <w:sz w:val="28"/>
          <w:szCs w:val="28"/>
          <w:lang w:bidi="ar-EG"/>
        </w:rPr>
        <w:t>CONCLUSION</w:t>
      </w:r>
      <w:r w:rsidRPr="00571A5F">
        <w:rPr>
          <w:rFonts w:asciiTheme="majorBidi" w:hAnsiTheme="majorBidi" w:cstheme="majorBidi"/>
          <w:b/>
          <w:bCs/>
          <w:sz w:val="32"/>
          <w:szCs w:val="32"/>
          <w:lang w:bidi="ar-EG"/>
        </w:rPr>
        <w:t>:</w:t>
      </w:r>
    </w:p>
    <w:p w:rsidR="002F3AC9" w:rsidRPr="00AA5D9F" w:rsidRDefault="002F3AC9" w:rsidP="00571A5F">
      <w:pPr>
        <w:bidi w:val="0"/>
        <w:adjustRightInd w:val="0"/>
        <w:spacing w:line="360" w:lineRule="auto"/>
        <w:ind w:firstLine="720"/>
        <w:jc w:val="both"/>
        <w:rPr>
          <w:rFonts w:asciiTheme="majorBidi" w:hAnsiTheme="majorBidi" w:cstheme="majorBidi"/>
          <w:sz w:val="28"/>
          <w:szCs w:val="28"/>
          <w:lang w:bidi="ar-EG"/>
        </w:rPr>
      </w:pPr>
      <w:r w:rsidRPr="00AA5D9F">
        <w:rPr>
          <w:rFonts w:asciiTheme="majorBidi" w:hAnsiTheme="majorBidi" w:cstheme="majorBidi"/>
          <w:sz w:val="28"/>
          <w:szCs w:val="28"/>
        </w:rPr>
        <w:t xml:space="preserve">From the current study, </w:t>
      </w:r>
      <w:r w:rsidRPr="00AA5D9F">
        <w:rPr>
          <w:rFonts w:asciiTheme="majorBidi" w:hAnsiTheme="majorBidi" w:cstheme="majorBidi"/>
          <w:sz w:val="28"/>
          <w:szCs w:val="28"/>
          <w:lang w:bidi="ar-EG"/>
        </w:rPr>
        <w:t xml:space="preserve">we can conclude that STG administration can exert protective effects against DIC through </w:t>
      </w:r>
      <w:r w:rsidR="00AA5D9F" w:rsidRPr="00AA5D9F">
        <w:rPr>
          <w:rFonts w:asciiTheme="majorBidi" w:hAnsiTheme="majorBidi" w:cstheme="majorBidi"/>
          <w:sz w:val="28"/>
          <w:szCs w:val="28"/>
          <w:lang w:bidi="ar-EG"/>
        </w:rPr>
        <w:t>increasing</w:t>
      </w:r>
      <w:r w:rsidRPr="00AA5D9F">
        <w:rPr>
          <w:rFonts w:asciiTheme="majorBidi" w:hAnsiTheme="majorBidi" w:cstheme="majorBidi"/>
          <w:sz w:val="28"/>
          <w:szCs w:val="28"/>
          <w:lang w:bidi="ar-EG"/>
        </w:rPr>
        <w:t xml:space="preserve"> cardiac NO and e-NOS while its administration with L-NAME reverse these effects. </w:t>
      </w:r>
    </w:p>
    <w:p w:rsidR="00BE1C07" w:rsidRPr="00571A5F" w:rsidRDefault="008C6F99" w:rsidP="00571A5F">
      <w:pPr>
        <w:bidi w:val="0"/>
        <w:spacing w:line="360" w:lineRule="auto"/>
        <w:contextualSpacing/>
        <w:jc w:val="both"/>
        <w:rPr>
          <w:rFonts w:asciiTheme="majorBidi" w:hAnsiTheme="majorBidi" w:cstheme="majorBidi"/>
          <w:b/>
          <w:bCs/>
          <w:sz w:val="28"/>
          <w:szCs w:val="28"/>
          <w:lang w:bidi="en-US"/>
        </w:rPr>
      </w:pPr>
      <w:r w:rsidRPr="00571A5F">
        <w:rPr>
          <w:rFonts w:asciiTheme="majorBidi" w:hAnsiTheme="majorBidi" w:cstheme="majorBidi"/>
          <w:b/>
          <w:bCs/>
          <w:sz w:val="28"/>
          <w:szCs w:val="28"/>
          <w:lang w:bidi="en-US"/>
        </w:rPr>
        <w:t xml:space="preserve">6. </w:t>
      </w:r>
      <w:r w:rsidR="00BE1C07" w:rsidRPr="00571A5F">
        <w:rPr>
          <w:rFonts w:asciiTheme="majorBidi" w:hAnsiTheme="majorBidi" w:cstheme="majorBidi"/>
          <w:b/>
          <w:bCs/>
          <w:sz w:val="28"/>
          <w:szCs w:val="28"/>
          <w:lang w:bidi="en-US"/>
        </w:rPr>
        <w:t>CONFLICT OF INTEREST:</w:t>
      </w:r>
    </w:p>
    <w:p w:rsidR="00BE1C07" w:rsidRPr="00571A5F" w:rsidRDefault="00BE1C07" w:rsidP="00571A5F">
      <w:pPr>
        <w:bidi w:val="0"/>
        <w:spacing w:line="360" w:lineRule="auto"/>
        <w:ind w:firstLine="720"/>
        <w:contextualSpacing/>
        <w:jc w:val="both"/>
        <w:rPr>
          <w:rFonts w:asciiTheme="majorBidi" w:hAnsiTheme="majorBidi" w:cstheme="majorBidi"/>
          <w:b/>
          <w:bCs/>
          <w:sz w:val="32"/>
          <w:szCs w:val="32"/>
          <w:lang w:bidi="en-US"/>
        </w:rPr>
      </w:pPr>
      <w:r w:rsidRPr="00571A5F">
        <w:rPr>
          <w:rFonts w:asciiTheme="majorBidi" w:hAnsiTheme="majorBidi" w:cstheme="majorBidi"/>
          <w:sz w:val="28"/>
          <w:szCs w:val="28"/>
          <w:lang w:bidi="en-US"/>
        </w:rPr>
        <w:t>There is no conflict of interest</w:t>
      </w:r>
    </w:p>
    <w:p w:rsidR="00BE1C07" w:rsidRPr="00571A5F" w:rsidRDefault="00BE1C07" w:rsidP="00571A5F">
      <w:pPr>
        <w:bidi w:val="0"/>
        <w:spacing w:line="360" w:lineRule="auto"/>
        <w:contextualSpacing/>
        <w:jc w:val="both"/>
        <w:rPr>
          <w:rFonts w:asciiTheme="majorBidi" w:hAnsiTheme="majorBidi" w:cstheme="majorBidi"/>
          <w:b/>
          <w:bCs/>
          <w:sz w:val="28"/>
          <w:szCs w:val="28"/>
          <w:lang w:bidi="ar-EG"/>
        </w:rPr>
      </w:pPr>
      <w:r w:rsidRPr="00571A5F">
        <w:rPr>
          <w:rFonts w:asciiTheme="majorBidi" w:hAnsiTheme="majorBidi" w:cstheme="majorBidi"/>
          <w:b/>
          <w:bCs/>
          <w:sz w:val="28"/>
          <w:szCs w:val="28"/>
          <w:lang w:bidi="ar-EG"/>
        </w:rPr>
        <w:t>REFERENCES:</w:t>
      </w:r>
    </w:p>
    <w:p w:rsidR="004B2204" w:rsidRPr="00571A5F" w:rsidRDefault="00FC72BF" w:rsidP="00571A5F">
      <w:pPr>
        <w:autoSpaceDE w:val="0"/>
        <w:autoSpaceDN w:val="0"/>
        <w:bidi w:val="0"/>
        <w:adjustRightInd w:val="0"/>
        <w:spacing w:after="100" w:afterAutospacing="1" w:line="360" w:lineRule="auto"/>
        <w:rPr>
          <w:rFonts w:asciiTheme="majorBidi" w:hAnsiTheme="majorBidi" w:cstheme="majorBidi"/>
          <w:sz w:val="28"/>
          <w:szCs w:val="28"/>
        </w:rPr>
      </w:pPr>
      <w:r w:rsidRPr="00571A5F">
        <w:rPr>
          <w:rFonts w:asciiTheme="majorBidi" w:hAnsiTheme="majorBidi" w:cstheme="majorBidi"/>
          <w:b/>
          <w:bCs/>
          <w:sz w:val="28"/>
          <w:szCs w:val="28"/>
        </w:rPr>
        <w:t xml:space="preserve">1- Johnson-Arbor K. and Dubey R. </w:t>
      </w:r>
      <w:r w:rsidRPr="00571A5F">
        <w:rPr>
          <w:rFonts w:asciiTheme="majorBidi" w:hAnsiTheme="majorBidi" w:cstheme="majorBidi"/>
          <w:sz w:val="28"/>
          <w:szCs w:val="28"/>
        </w:rPr>
        <w:t>Doxorubicin</w:t>
      </w:r>
      <w:r w:rsidR="006543F6" w:rsidRPr="00571A5F">
        <w:rPr>
          <w:rFonts w:asciiTheme="majorBidi" w:hAnsiTheme="majorBidi" w:cstheme="majorBidi"/>
          <w:b/>
          <w:bCs/>
          <w:sz w:val="28"/>
          <w:szCs w:val="28"/>
        </w:rPr>
        <w:t xml:space="preserve">; </w:t>
      </w:r>
      <w:r w:rsidRPr="00571A5F">
        <w:rPr>
          <w:rFonts w:asciiTheme="majorBidi" w:hAnsiTheme="majorBidi" w:cstheme="majorBidi"/>
          <w:sz w:val="28"/>
          <w:szCs w:val="28"/>
        </w:rPr>
        <w:t>Treasure Is</w:t>
      </w:r>
      <w:r w:rsidR="006543F6" w:rsidRPr="00571A5F">
        <w:rPr>
          <w:rFonts w:asciiTheme="majorBidi" w:hAnsiTheme="majorBidi" w:cstheme="majorBidi"/>
          <w:sz w:val="28"/>
          <w:szCs w:val="28"/>
        </w:rPr>
        <w:t>land (FL): StatPearls ; 2021; 89</w:t>
      </w:r>
      <w:r w:rsidR="00571A5F" w:rsidRPr="00571A5F">
        <w:rPr>
          <w:rFonts w:asciiTheme="majorBidi" w:hAnsiTheme="majorBidi" w:cstheme="majorBidi"/>
          <w:sz w:val="28"/>
          <w:szCs w:val="28"/>
        </w:rPr>
        <w:t xml:space="preserve"> (4)</w:t>
      </w:r>
      <w:r w:rsidR="006543F6" w:rsidRPr="00571A5F">
        <w:rPr>
          <w:rFonts w:asciiTheme="majorBidi" w:hAnsiTheme="majorBidi" w:cstheme="majorBidi"/>
          <w:sz w:val="28"/>
          <w:szCs w:val="28"/>
        </w:rPr>
        <w:t>: 118</w:t>
      </w:r>
    </w:p>
    <w:p w:rsidR="00FC72BF" w:rsidRPr="00571A5F" w:rsidRDefault="00FC72BF" w:rsidP="00571A5F">
      <w:pPr>
        <w:autoSpaceDE w:val="0"/>
        <w:autoSpaceDN w:val="0"/>
        <w:bidi w:val="0"/>
        <w:adjustRightInd w:val="0"/>
        <w:spacing w:after="100" w:afterAutospacing="1" w:line="360" w:lineRule="auto"/>
        <w:ind w:left="567" w:hanging="567"/>
        <w:jc w:val="both"/>
        <w:rPr>
          <w:rFonts w:asciiTheme="majorBidi" w:hAnsiTheme="majorBidi" w:cstheme="majorBidi"/>
          <w:color w:val="231F20"/>
          <w:sz w:val="28"/>
          <w:szCs w:val="28"/>
        </w:rPr>
      </w:pPr>
      <w:r w:rsidRPr="00571A5F">
        <w:rPr>
          <w:rFonts w:asciiTheme="majorBidi" w:hAnsiTheme="majorBidi" w:cstheme="majorBidi"/>
          <w:b/>
          <w:bCs/>
          <w:color w:val="231F20"/>
          <w:sz w:val="28"/>
          <w:szCs w:val="28"/>
        </w:rPr>
        <w:t xml:space="preserve">2- Raj S, Franco SI and Lipshultz SE. </w:t>
      </w:r>
      <w:r w:rsidRPr="00571A5F">
        <w:rPr>
          <w:rFonts w:asciiTheme="majorBidi" w:hAnsiTheme="majorBidi" w:cstheme="majorBidi"/>
          <w:color w:val="231F20"/>
          <w:sz w:val="28"/>
          <w:szCs w:val="28"/>
        </w:rPr>
        <w:t>Anthracycline-induced cardiotoxicity: A review of pathophysiology, diagnosis, and treatment. Current Treatment Options in Cardiovascular Medicine. 2014;</w:t>
      </w:r>
      <w:r w:rsidR="00214C73" w:rsidRPr="00571A5F">
        <w:rPr>
          <w:rFonts w:asciiTheme="majorBidi" w:hAnsiTheme="majorBidi" w:cstheme="majorBidi"/>
          <w:color w:val="231F20"/>
          <w:sz w:val="28"/>
          <w:szCs w:val="28"/>
        </w:rPr>
        <w:t xml:space="preserve"> </w:t>
      </w:r>
      <w:r w:rsidRPr="00571A5F">
        <w:rPr>
          <w:rFonts w:asciiTheme="majorBidi" w:hAnsiTheme="majorBidi" w:cstheme="majorBidi"/>
          <w:color w:val="231F20"/>
          <w:sz w:val="28"/>
          <w:szCs w:val="28"/>
        </w:rPr>
        <w:t>16(6):315.</w:t>
      </w:r>
    </w:p>
    <w:p w:rsidR="00FC72BF" w:rsidRPr="00571A5F" w:rsidRDefault="0040534E" w:rsidP="00571A5F">
      <w:pPr>
        <w:autoSpaceDE w:val="0"/>
        <w:autoSpaceDN w:val="0"/>
        <w:bidi w:val="0"/>
        <w:adjustRightInd w:val="0"/>
        <w:spacing w:after="100" w:afterAutospacing="1" w:line="360" w:lineRule="auto"/>
        <w:ind w:left="567" w:hanging="567"/>
        <w:jc w:val="both"/>
        <w:rPr>
          <w:rFonts w:asciiTheme="majorBidi" w:hAnsiTheme="majorBidi" w:cstheme="majorBidi"/>
          <w:b/>
          <w:bCs/>
          <w:sz w:val="28"/>
          <w:szCs w:val="28"/>
        </w:rPr>
      </w:pPr>
      <w:r w:rsidRPr="00571A5F">
        <w:rPr>
          <w:rFonts w:asciiTheme="majorBidi" w:hAnsiTheme="majorBidi" w:cstheme="majorBidi"/>
          <w:b/>
          <w:bCs/>
          <w:sz w:val="28"/>
          <w:szCs w:val="28"/>
        </w:rPr>
        <w:t>3-</w:t>
      </w:r>
      <w:r w:rsidR="00FC72BF" w:rsidRPr="00571A5F">
        <w:rPr>
          <w:rFonts w:asciiTheme="majorBidi" w:hAnsiTheme="majorBidi" w:cstheme="majorBidi"/>
          <w:b/>
          <w:bCs/>
          <w:sz w:val="28"/>
          <w:szCs w:val="28"/>
        </w:rPr>
        <w:t>Salazar-Mendiguchía J, González-Costello J, Roca J,</w:t>
      </w:r>
      <w:r w:rsidR="006543F6" w:rsidRPr="00571A5F">
        <w:rPr>
          <w:rFonts w:asciiTheme="majorBidi" w:hAnsiTheme="majorBidi" w:cstheme="majorBidi"/>
          <w:b/>
          <w:bCs/>
          <w:sz w:val="28"/>
          <w:szCs w:val="28"/>
        </w:rPr>
        <w:t xml:space="preserve"> Ariza-Solé A, Manito N, Cequier A,</w:t>
      </w:r>
      <w:r w:rsidR="00FC72BF" w:rsidRPr="00571A5F">
        <w:rPr>
          <w:rFonts w:asciiTheme="majorBidi" w:hAnsiTheme="majorBidi" w:cstheme="majorBidi"/>
          <w:b/>
          <w:bCs/>
          <w:sz w:val="28"/>
          <w:szCs w:val="28"/>
        </w:rPr>
        <w:t xml:space="preserve"> et al.</w:t>
      </w:r>
      <w:r w:rsidR="00FC72BF" w:rsidRPr="00571A5F">
        <w:rPr>
          <w:rFonts w:asciiTheme="majorBidi" w:hAnsiTheme="majorBidi" w:cstheme="majorBidi"/>
          <w:sz w:val="28"/>
          <w:szCs w:val="28"/>
        </w:rPr>
        <w:t xml:space="preserve"> Anthracycline-mediated cardiomyopathy: Basic molecular knowledge for the cardiologist. Archivos de Cardiología de México. 2014;</w:t>
      </w:r>
      <w:r w:rsidR="00214C73" w:rsidRPr="00571A5F">
        <w:rPr>
          <w:rFonts w:asciiTheme="majorBidi" w:hAnsiTheme="majorBidi" w:cstheme="majorBidi"/>
          <w:sz w:val="28"/>
          <w:szCs w:val="28"/>
        </w:rPr>
        <w:t xml:space="preserve"> </w:t>
      </w:r>
      <w:r w:rsidR="00FC72BF" w:rsidRPr="00571A5F">
        <w:rPr>
          <w:rFonts w:asciiTheme="majorBidi" w:hAnsiTheme="majorBidi" w:cstheme="majorBidi"/>
          <w:sz w:val="28"/>
          <w:szCs w:val="28"/>
        </w:rPr>
        <w:t>84(3):218-223.</w:t>
      </w:r>
    </w:p>
    <w:p w:rsidR="00FC72BF" w:rsidRPr="00571A5F" w:rsidRDefault="0040534E" w:rsidP="00571A5F">
      <w:pPr>
        <w:autoSpaceDE w:val="0"/>
        <w:autoSpaceDN w:val="0"/>
        <w:bidi w:val="0"/>
        <w:adjustRightInd w:val="0"/>
        <w:spacing w:after="100" w:afterAutospacing="1" w:line="360" w:lineRule="auto"/>
        <w:ind w:left="567" w:hanging="567"/>
        <w:jc w:val="both"/>
        <w:rPr>
          <w:rFonts w:asciiTheme="majorBidi" w:hAnsiTheme="majorBidi" w:cstheme="majorBidi"/>
          <w:b/>
          <w:bCs/>
          <w:sz w:val="28"/>
          <w:szCs w:val="28"/>
        </w:rPr>
      </w:pPr>
      <w:r w:rsidRPr="00571A5F">
        <w:rPr>
          <w:rFonts w:asciiTheme="majorBidi" w:hAnsiTheme="majorBidi" w:cstheme="majorBidi"/>
          <w:b/>
          <w:bCs/>
          <w:sz w:val="28"/>
          <w:szCs w:val="28"/>
        </w:rPr>
        <w:t>4-</w:t>
      </w:r>
      <w:r w:rsidR="00FC72BF" w:rsidRPr="00571A5F">
        <w:rPr>
          <w:rFonts w:asciiTheme="majorBidi" w:hAnsiTheme="majorBidi" w:cstheme="majorBidi"/>
          <w:b/>
          <w:bCs/>
          <w:sz w:val="28"/>
          <w:szCs w:val="28"/>
        </w:rPr>
        <w:t>Ghigo A, Li M and Hirsch E.</w:t>
      </w:r>
      <w:r w:rsidR="00FC72BF" w:rsidRPr="00571A5F">
        <w:rPr>
          <w:rFonts w:asciiTheme="majorBidi" w:hAnsiTheme="majorBidi" w:cstheme="majorBidi"/>
          <w:sz w:val="28"/>
          <w:szCs w:val="28"/>
        </w:rPr>
        <w:t xml:space="preserve"> New signal transduction paradigms in anthracycline-induced cardiotoxicity. Biochimica et Biophysica Acta. 2016;</w:t>
      </w:r>
      <w:r w:rsidR="00214C73" w:rsidRPr="00571A5F">
        <w:rPr>
          <w:rFonts w:asciiTheme="majorBidi" w:hAnsiTheme="majorBidi" w:cstheme="majorBidi"/>
          <w:sz w:val="28"/>
          <w:szCs w:val="28"/>
        </w:rPr>
        <w:t xml:space="preserve"> </w:t>
      </w:r>
      <w:r w:rsidR="00FC72BF" w:rsidRPr="00571A5F">
        <w:rPr>
          <w:rFonts w:asciiTheme="majorBidi" w:hAnsiTheme="majorBidi" w:cstheme="majorBidi"/>
          <w:sz w:val="28"/>
          <w:szCs w:val="28"/>
        </w:rPr>
        <w:t>1863(7 Pt B):1916</w:t>
      </w:r>
      <w:r w:rsidR="00214C73" w:rsidRPr="00571A5F">
        <w:rPr>
          <w:rFonts w:asciiTheme="majorBidi" w:hAnsiTheme="majorBidi" w:cstheme="majorBidi"/>
          <w:sz w:val="28"/>
          <w:szCs w:val="28"/>
        </w:rPr>
        <w:t xml:space="preserve"> – </w:t>
      </w:r>
      <w:r w:rsidR="00FC72BF" w:rsidRPr="00571A5F">
        <w:rPr>
          <w:rFonts w:asciiTheme="majorBidi" w:hAnsiTheme="majorBidi" w:cstheme="majorBidi"/>
          <w:sz w:val="28"/>
          <w:szCs w:val="28"/>
        </w:rPr>
        <w:t>1925.</w:t>
      </w:r>
    </w:p>
    <w:p w:rsidR="00FC72BF" w:rsidRPr="00571A5F" w:rsidRDefault="0040534E" w:rsidP="00571A5F">
      <w:pPr>
        <w:autoSpaceDE w:val="0"/>
        <w:autoSpaceDN w:val="0"/>
        <w:adjustRightInd w:val="0"/>
        <w:spacing w:after="100" w:afterAutospacing="1" w:line="360" w:lineRule="auto"/>
        <w:ind w:left="567" w:hanging="567"/>
        <w:jc w:val="both"/>
        <w:rPr>
          <w:rFonts w:asciiTheme="majorBidi" w:hAnsiTheme="majorBidi" w:cstheme="majorBidi"/>
          <w:color w:val="000000"/>
          <w:sz w:val="28"/>
          <w:szCs w:val="28"/>
          <w:shd w:val="clear" w:color="auto" w:fill="FFFFFF"/>
        </w:rPr>
      </w:pPr>
      <w:r w:rsidRPr="00571A5F">
        <w:rPr>
          <w:rFonts w:asciiTheme="majorBidi" w:hAnsiTheme="majorBidi" w:cstheme="majorBidi"/>
          <w:b/>
          <w:bCs/>
          <w:color w:val="000000"/>
          <w:sz w:val="28"/>
          <w:szCs w:val="28"/>
          <w:shd w:val="clear" w:color="auto" w:fill="FFFFFF"/>
        </w:rPr>
        <w:t>5-</w:t>
      </w:r>
      <w:r w:rsidR="00FC72BF" w:rsidRPr="00571A5F">
        <w:rPr>
          <w:rFonts w:asciiTheme="majorBidi" w:hAnsiTheme="majorBidi" w:cstheme="majorBidi"/>
          <w:b/>
          <w:bCs/>
          <w:color w:val="000000"/>
          <w:sz w:val="28"/>
          <w:szCs w:val="28"/>
          <w:shd w:val="clear" w:color="auto" w:fill="FFFFFF"/>
        </w:rPr>
        <w:t>Bennett, R. G.</w:t>
      </w:r>
      <w:r w:rsidR="00FC72BF" w:rsidRPr="00571A5F">
        <w:rPr>
          <w:rFonts w:asciiTheme="majorBidi" w:hAnsiTheme="majorBidi" w:cstheme="majorBidi"/>
          <w:color w:val="000000"/>
          <w:sz w:val="28"/>
          <w:szCs w:val="28"/>
          <w:shd w:val="clear" w:color="auto" w:fill="FFFFFF"/>
        </w:rPr>
        <w:t> Sitagliptin. Reference Module in Biomedical Sciences. Elsevier, </w:t>
      </w:r>
      <w:r w:rsidR="00FC72BF" w:rsidRPr="00571A5F">
        <w:rPr>
          <w:rFonts w:asciiTheme="majorBidi" w:hAnsiTheme="majorBidi" w:cstheme="majorBidi"/>
          <w:color w:val="000000"/>
          <w:sz w:val="28"/>
          <w:szCs w:val="28"/>
        </w:rPr>
        <w:t>2018</w:t>
      </w:r>
      <w:r w:rsidR="00FC72BF" w:rsidRPr="00571A5F">
        <w:rPr>
          <w:rFonts w:asciiTheme="majorBidi" w:hAnsiTheme="majorBidi" w:cstheme="majorBidi"/>
          <w:color w:val="000000"/>
          <w:sz w:val="28"/>
          <w:szCs w:val="28"/>
          <w:shd w:val="clear" w:color="auto" w:fill="FFFFFF"/>
        </w:rPr>
        <w:t>, pp . 1-2. doi:10.1016/b978-0-12-801238-3.64134-x.</w:t>
      </w:r>
    </w:p>
    <w:p w:rsidR="00FC72BF" w:rsidRPr="00571A5F" w:rsidRDefault="0040534E" w:rsidP="00571A5F">
      <w:pPr>
        <w:autoSpaceDE w:val="0"/>
        <w:autoSpaceDN w:val="0"/>
        <w:bidi w:val="0"/>
        <w:adjustRightInd w:val="0"/>
        <w:spacing w:after="100" w:afterAutospacing="1" w:line="360" w:lineRule="auto"/>
        <w:ind w:left="567" w:hanging="567"/>
        <w:jc w:val="both"/>
        <w:rPr>
          <w:rFonts w:asciiTheme="majorBidi" w:hAnsiTheme="majorBidi" w:cstheme="majorBidi"/>
          <w:b/>
          <w:bCs/>
          <w:sz w:val="28"/>
          <w:szCs w:val="28"/>
        </w:rPr>
      </w:pPr>
      <w:r w:rsidRPr="00571A5F">
        <w:rPr>
          <w:rFonts w:asciiTheme="majorBidi" w:hAnsiTheme="majorBidi" w:cstheme="majorBidi"/>
          <w:b/>
          <w:bCs/>
          <w:sz w:val="28"/>
          <w:szCs w:val="28"/>
        </w:rPr>
        <w:t>6-</w:t>
      </w:r>
      <w:r w:rsidR="00FC72BF" w:rsidRPr="00571A5F">
        <w:rPr>
          <w:rFonts w:asciiTheme="majorBidi" w:hAnsiTheme="majorBidi" w:cstheme="majorBidi"/>
          <w:b/>
          <w:bCs/>
          <w:sz w:val="28"/>
          <w:szCs w:val="28"/>
        </w:rPr>
        <w:t>Ma Q.</w:t>
      </w:r>
      <w:r w:rsidR="00FC72BF" w:rsidRPr="00571A5F">
        <w:rPr>
          <w:rFonts w:asciiTheme="majorBidi" w:hAnsiTheme="majorBidi" w:cstheme="majorBidi"/>
          <w:sz w:val="28"/>
          <w:szCs w:val="28"/>
        </w:rPr>
        <w:t xml:space="preserve"> Role of nrf2 in oxidative stress and toxicity. Annu Rev Pharmacol Toxicol 2013, 53: 401±426.</w:t>
      </w:r>
    </w:p>
    <w:p w:rsidR="00FC72BF" w:rsidRPr="00571A5F" w:rsidRDefault="0040534E" w:rsidP="00571A5F">
      <w:pPr>
        <w:autoSpaceDE w:val="0"/>
        <w:autoSpaceDN w:val="0"/>
        <w:bidi w:val="0"/>
        <w:adjustRightInd w:val="0"/>
        <w:spacing w:after="100" w:afterAutospacing="1" w:line="360" w:lineRule="auto"/>
        <w:ind w:left="567" w:hanging="567"/>
        <w:jc w:val="both"/>
        <w:rPr>
          <w:rFonts w:asciiTheme="majorBidi" w:hAnsiTheme="majorBidi" w:cstheme="majorBidi"/>
          <w:b/>
          <w:bCs/>
          <w:sz w:val="28"/>
          <w:szCs w:val="28"/>
        </w:rPr>
      </w:pPr>
      <w:r w:rsidRPr="00571A5F">
        <w:rPr>
          <w:rFonts w:asciiTheme="majorBidi" w:hAnsiTheme="majorBidi" w:cstheme="majorBidi"/>
          <w:b/>
          <w:bCs/>
          <w:color w:val="000000"/>
          <w:sz w:val="28"/>
          <w:szCs w:val="28"/>
          <w:shd w:val="clear" w:color="auto" w:fill="FFFFFF"/>
        </w:rPr>
        <w:t>7-</w:t>
      </w:r>
      <w:r w:rsidR="00FC72BF" w:rsidRPr="00571A5F">
        <w:rPr>
          <w:rFonts w:asciiTheme="majorBidi" w:hAnsiTheme="majorBidi" w:cstheme="majorBidi"/>
          <w:b/>
          <w:bCs/>
          <w:color w:val="000000"/>
          <w:sz w:val="28"/>
          <w:szCs w:val="28"/>
          <w:shd w:val="clear" w:color="auto" w:fill="FFFFFF"/>
        </w:rPr>
        <w:t>Melikian N., Seddon M., Casadei B., Chowienczyk P. and Shah A.</w:t>
      </w:r>
      <w:r w:rsidR="00FC72BF" w:rsidRPr="00571A5F">
        <w:rPr>
          <w:rFonts w:asciiTheme="majorBidi" w:hAnsiTheme="majorBidi" w:cstheme="majorBidi"/>
          <w:color w:val="000000"/>
          <w:sz w:val="28"/>
          <w:szCs w:val="28"/>
          <w:shd w:val="clear" w:color="auto" w:fill="FFFFFF"/>
        </w:rPr>
        <w:t xml:space="preserve"> Neuronal nitric oxide synthase and human vascular regulation. Trends Cardiovasc Med 2009;</w:t>
      </w:r>
      <w:r w:rsidR="00214C73" w:rsidRPr="00571A5F">
        <w:rPr>
          <w:rFonts w:asciiTheme="majorBidi" w:hAnsiTheme="majorBidi" w:cstheme="majorBidi"/>
          <w:color w:val="000000"/>
          <w:sz w:val="28"/>
          <w:szCs w:val="28"/>
          <w:shd w:val="clear" w:color="auto" w:fill="FFFFFF"/>
        </w:rPr>
        <w:t xml:space="preserve"> </w:t>
      </w:r>
      <w:r w:rsidR="00FC72BF" w:rsidRPr="00571A5F">
        <w:rPr>
          <w:rFonts w:asciiTheme="majorBidi" w:hAnsiTheme="majorBidi" w:cstheme="majorBidi"/>
          <w:color w:val="000000"/>
          <w:sz w:val="28"/>
          <w:szCs w:val="28"/>
          <w:shd w:val="clear" w:color="auto" w:fill="FFFFFF"/>
        </w:rPr>
        <w:t>19: 256–262.</w:t>
      </w:r>
    </w:p>
    <w:p w:rsidR="003753C3" w:rsidRPr="00571A5F" w:rsidRDefault="0077074A"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sidRPr="00571A5F">
        <w:rPr>
          <w:rFonts w:asciiTheme="majorBidi" w:hAnsiTheme="majorBidi" w:cstheme="majorBidi"/>
          <w:b/>
          <w:bCs/>
          <w:sz w:val="28"/>
          <w:szCs w:val="28"/>
          <w:shd w:val="clear" w:color="auto" w:fill="FFFFFF"/>
        </w:rPr>
        <w:t>8-</w:t>
      </w:r>
      <w:r w:rsidR="00EB1697" w:rsidRPr="00571A5F">
        <w:rPr>
          <w:rFonts w:asciiTheme="majorBidi" w:hAnsiTheme="majorBidi" w:cstheme="majorBidi"/>
          <w:b/>
          <w:bCs/>
          <w:sz w:val="28"/>
          <w:szCs w:val="28"/>
          <w:shd w:val="clear" w:color="auto" w:fill="FFFFFF"/>
        </w:rPr>
        <w:t xml:space="preserve">Carresi C, Scicchitano M, Scarano F, Macrì R, Bosco F, Nucera S, et al. </w:t>
      </w:r>
      <w:r w:rsidR="00EB1697" w:rsidRPr="00571A5F">
        <w:rPr>
          <w:rFonts w:asciiTheme="majorBidi" w:hAnsiTheme="majorBidi" w:cstheme="majorBidi"/>
          <w:sz w:val="28"/>
          <w:szCs w:val="28"/>
          <w:shd w:val="clear" w:color="auto" w:fill="FFFFFF"/>
        </w:rPr>
        <w:t xml:space="preserve">The Potential Properties of Natural Compounds in Cardiac Stem Cell Activation: Their Role in Myocardial Regeneration. Nutrients. 2021 Jan 19;13(1):275. </w:t>
      </w:r>
    </w:p>
    <w:p w:rsidR="003753C3" w:rsidRPr="00571A5F" w:rsidRDefault="0077074A"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sidRPr="00571A5F">
        <w:rPr>
          <w:rFonts w:asciiTheme="majorBidi" w:hAnsiTheme="majorBidi" w:cstheme="majorBidi"/>
          <w:b/>
          <w:bCs/>
          <w:sz w:val="28"/>
          <w:szCs w:val="28"/>
          <w:shd w:val="clear" w:color="auto" w:fill="FFFFFF"/>
        </w:rPr>
        <w:t>9-</w:t>
      </w:r>
      <w:r w:rsidR="00214C73" w:rsidRPr="00571A5F">
        <w:rPr>
          <w:rFonts w:asciiTheme="majorBidi" w:hAnsiTheme="majorBidi" w:cstheme="majorBidi"/>
          <w:b/>
          <w:bCs/>
          <w:sz w:val="28"/>
          <w:szCs w:val="28"/>
          <w:shd w:val="clear" w:color="auto" w:fill="FFFFFF"/>
        </w:rPr>
        <w:t xml:space="preserve">Akshata N and </w:t>
      </w:r>
      <w:r w:rsidR="003753C3" w:rsidRPr="00571A5F">
        <w:rPr>
          <w:rFonts w:asciiTheme="majorBidi" w:hAnsiTheme="majorBidi" w:cstheme="majorBidi"/>
          <w:b/>
          <w:bCs/>
          <w:sz w:val="28"/>
          <w:szCs w:val="28"/>
          <w:shd w:val="clear" w:color="auto" w:fill="FFFFFF"/>
        </w:rPr>
        <w:t xml:space="preserve">Shivalingegowda KP. </w:t>
      </w:r>
      <w:r w:rsidR="003753C3" w:rsidRPr="00571A5F">
        <w:rPr>
          <w:rFonts w:asciiTheme="majorBidi" w:hAnsiTheme="majorBidi" w:cstheme="majorBidi"/>
          <w:sz w:val="28"/>
          <w:szCs w:val="28"/>
          <w:shd w:val="clear" w:color="auto" w:fill="FFFFFF"/>
        </w:rPr>
        <w:t>Amlodipine Exhibits Cardio Protective Effect on Doxorubicin Induced Cardiotoxicity in Rats. Curr Trends Clin Toxicol 2020: 3: 104.</w:t>
      </w:r>
    </w:p>
    <w:p w:rsidR="0077074A" w:rsidRPr="00571A5F" w:rsidRDefault="0077074A"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sidRPr="00571A5F">
        <w:rPr>
          <w:rFonts w:asciiTheme="majorBidi" w:hAnsiTheme="majorBidi" w:cstheme="majorBidi"/>
          <w:b/>
          <w:bCs/>
          <w:sz w:val="28"/>
          <w:szCs w:val="28"/>
          <w:shd w:val="clear" w:color="auto" w:fill="FFFFFF"/>
        </w:rPr>
        <w:t xml:space="preserve">10-Hirai H, Higa M, Morimoto T, Sakuma M, Arasaki O, Nomiyama T, </w:t>
      </w:r>
      <w:r w:rsidR="006543F6" w:rsidRPr="00571A5F">
        <w:rPr>
          <w:rFonts w:asciiTheme="majorBidi" w:hAnsiTheme="majorBidi" w:cstheme="majorBidi"/>
          <w:b/>
          <w:bCs/>
          <w:sz w:val="28"/>
          <w:szCs w:val="28"/>
          <w:shd w:val="clear" w:color="auto" w:fill="FFFFFF"/>
        </w:rPr>
        <w:t>et al</w:t>
      </w:r>
      <w:r w:rsidRPr="00571A5F">
        <w:rPr>
          <w:rFonts w:asciiTheme="majorBidi" w:hAnsiTheme="majorBidi" w:cstheme="majorBidi"/>
          <w:b/>
          <w:bCs/>
          <w:sz w:val="28"/>
          <w:szCs w:val="28"/>
          <w:shd w:val="clear" w:color="auto" w:fill="FFFFFF"/>
        </w:rPr>
        <w:t>.</w:t>
      </w:r>
      <w:r w:rsidRPr="00571A5F">
        <w:rPr>
          <w:rFonts w:asciiTheme="majorBidi" w:hAnsiTheme="majorBidi" w:cstheme="majorBidi"/>
          <w:sz w:val="28"/>
          <w:szCs w:val="28"/>
          <w:shd w:val="clear" w:color="auto" w:fill="FFFFFF"/>
        </w:rPr>
        <w:t xml:space="preserve"> Dissimilar Effects of Anagliptin and Sitagliptin on Lipoprotein Subclass in Standard or Strong Statin-Treated Patients with Type-2 Diabetes Mellitus: A Subanalysis of the REASON (Randomized Evaluation of Anagliptin versus Sitagliptin on Low-Density Lipoprotein Cholesterol in Diabetes) Trial. J Clin Med. 2019 Dec 30;9(1):93.</w:t>
      </w:r>
    </w:p>
    <w:p w:rsidR="0077074A" w:rsidRPr="00571A5F" w:rsidRDefault="00577C8F" w:rsidP="00571A5F">
      <w:pPr>
        <w:autoSpaceDE w:val="0"/>
        <w:autoSpaceDN w:val="0"/>
        <w:bidi w:val="0"/>
        <w:adjustRightInd w:val="0"/>
        <w:spacing w:after="100" w:afterAutospacing="1" w:line="360" w:lineRule="auto"/>
        <w:ind w:left="567" w:hanging="567"/>
        <w:jc w:val="both"/>
        <w:rPr>
          <w:rFonts w:asciiTheme="majorBidi" w:hAnsiTheme="majorBidi" w:cstheme="majorBidi"/>
          <w:b/>
          <w:bCs/>
          <w:sz w:val="28"/>
          <w:szCs w:val="28"/>
        </w:rPr>
      </w:pPr>
      <w:r w:rsidRPr="00571A5F">
        <w:rPr>
          <w:rFonts w:asciiTheme="majorBidi" w:hAnsiTheme="majorBidi" w:cstheme="majorBidi"/>
          <w:b/>
          <w:bCs/>
          <w:sz w:val="28"/>
          <w:szCs w:val="28"/>
          <w:shd w:val="clear" w:color="auto" w:fill="FFFFFF"/>
        </w:rPr>
        <w:t>11-</w:t>
      </w:r>
      <w:r w:rsidR="0077074A" w:rsidRPr="00571A5F">
        <w:rPr>
          <w:rFonts w:asciiTheme="majorBidi" w:hAnsiTheme="majorBidi" w:cstheme="majorBidi"/>
          <w:b/>
          <w:bCs/>
          <w:sz w:val="28"/>
          <w:szCs w:val="28"/>
          <w:shd w:val="clear" w:color="auto" w:fill="FFFFFF"/>
        </w:rPr>
        <w:t>El-Agamy, D. S., Abo-Haded, H. M., and Elkablawy, M. A.</w:t>
      </w:r>
      <w:r w:rsidR="0077074A" w:rsidRPr="00571A5F">
        <w:rPr>
          <w:rFonts w:asciiTheme="majorBidi" w:hAnsiTheme="majorBidi" w:cstheme="majorBidi"/>
          <w:sz w:val="28"/>
          <w:szCs w:val="28"/>
          <w:shd w:val="clear" w:color="auto" w:fill="FFFFFF"/>
        </w:rPr>
        <w:t> Cardioprotective effects of sitagliptin against doxorubicin-induced cardiotoxicity in rats. Experimental Biology and Medicine, 2016, 241(14), 1577–1587.</w:t>
      </w:r>
    </w:p>
    <w:p w:rsidR="0077074A" w:rsidRPr="00571A5F" w:rsidRDefault="00577C8F"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sidRPr="00571A5F">
        <w:rPr>
          <w:rFonts w:asciiTheme="majorBidi" w:hAnsiTheme="majorBidi" w:cstheme="majorBidi"/>
          <w:b/>
          <w:bCs/>
          <w:sz w:val="28"/>
          <w:szCs w:val="28"/>
        </w:rPr>
        <w:t>12-</w:t>
      </w:r>
      <w:r w:rsidR="0077074A" w:rsidRPr="00571A5F">
        <w:rPr>
          <w:rFonts w:asciiTheme="majorBidi" w:hAnsiTheme="majorBidi" w:cstheme="majorBidi"/>
          <w:b/>
          <w:bCs/>
          <w:sz w:val="28"/>
          <w:szCs w:val="28"/>
        </w:rPr>
        <w:t>He, H., Wang, L., Qiao, Y., Zhou</w:t>
      </w:r>
      <w:r w:rsidR="006543F6" w:rsidRPr="00571A5F">
        <w:rPr>
          <w:rFonts w:asciiTheme="majorBidi" w:hAnsiTheme="majorBidi" w:cstheme="majorBidi"/>
          <w:b/>
          <w:bCs/>
          <w:sz w:val="28"/>
          <w:szCs w:val="28"/>
        </w:rPr>
        <w:t>, Q., Li, H., Chen, S., et al</w:t>
      </w:r>
      <w:r w:rsidR="0077074A" w:rsidRPr="00571A5F">
        <w:rPr>
          <w:rFonts w:asciiTheme="majorBidi" w:hAnsiTheme="majorBidi" w:cstheme="majorBidi"/>
          <w:b/>
          <w:bCs/>
          <w:sz w:val="28"/>
          <w:szCs w:val="28"/>
        </w:rPr>
        <w:t>.  </w:t>
      </w:r>
      <w:r w:rsidR="0077074A" w:rsidRPr="00571A5F">
        <w:rPr>
          <w:rFonts w:asciiTheme="majorBidi" w:hAnsiTheme="majorBidi" w:cstheme="majorBidi"/>
          <w:sz w:val="28"/>
          <w:szCs w:val="28"/>
        </w:rPr>
        <w:t>Doxorubicin Induces Endotheliotoxicity and Mitochondrial Dysfunction via ROS/eNOS/NO Path</w:t>
      </w:r>
      <w:r w:rsidR="002B5ED9">
        <w:rPr>
          <w:rFonts w:asciiTheme="majorBidi" w:hAnsiTheme="majorBidi" w:cstheme="majorBidi"/>
          <w:sz w:val="28"/>
          <w:szCs w:val="28"/>
        </w:rPr>
        <w:t>way. Frontiers in Pharmacology. 2020;10</w:t>
      </w:r>
      <w:r w:rsidR="0077074A" w:rsidRPr="00571A5F">
        <w:rPr>
          <w:rFonts w:asciiTheme="majorBidi" w:hAnsiTheme="majorBidi" w:cstheme="majorBidi"/>
          <w:sz w:val="28"/>
          <w:szCs w:val="28"/>
        </w:rPr>
        <w:t>.</w:t>
      </w:r>
      <w:bookmarkStart w:id="47" w:name="OLE_LINK17"/>
      <w:bookmarkStart w:id="48" w:name="OLE_LINK18"/>
    </w:p>
    <w:bookmarkEnd w:id="47"/>
    <w:bookmarkEnd w:id="48"/>
    <w:p w:rsidR="00DD1ACD" w:rsidRPr="00571A5F" w:rsidRDefault="00577C8F" w:rsidP="00571A5F">
      <w:pPr>
        <w:pStyle w:val="Heading1"/>
        <w:shd w:val="clear" w:color="auto" w:fill="FFFFFF"/>
        <w:spacing w:line="360" w:lineRule="auto"/>
        <w:jc w:val="both"/>
        <w:rPr>
          <w:rFonts w:asciiTheme="majorBidi" w:hAnsiTheme="majorBidi" w:cstheme="majorBidi"/>
          <w:sz w:val="28"/>
          <w:szCs w:val="28"/>
          <w:shd w:val="clear" w:color="auto" w:fill="FFFFFF"/>
        </w:rPr>
      </w:pPr>
      <w:r w:rsidRPr="00571A5F">
        <w:rPr>
          <w:rFonts w:asciiTheme="majorBidi" w:hAnsiTheme="majorBidi" w:cstheme="majorBidi"/>
          <w:sz w:val="28"/>
          <w:szCs w:val="28"/>
          <w:shd w:val="clear" w:color="auto" w:fill="FFFFFF"/>
        </w:rPr>
        <w:t>13-</w:t>
      </w:r>
      <w:r w:rsidR="00DD1ACD" w:rsidRPr="00571A5F">
        <w:rPr>
          <w:rFonts w:asciiTheme="majorBidi" w:hAnsiTheme="majorBidi" w:cstheme="majorBidi"/>
          <w:sz w:val="28"/>
          <w:szCs w:val="28"/>
          <w:shd w:val="clear" w:color="auto" w:fill="FFFFFF"/>
        </w:rPr>
        <w:t>Wenningmann, N., Knapp, M., Ande, A., Vaidya, T. R.,</w:t>
      </w:r>
      <w:r w:rsidR="006543F6" w:rsidRPr="00571A5F">
        <w:rPr>
          <w:rFonts w:asciiTheme="majorBidi" w:hAnsiTheme="majorBidi" w:cstheme="majorBidi"/>
          <w:sz w:val="28"/>
          <w:szCs w:val="28"/>
          <w:shd w:val="clear" w:color="auto" w:fill="FFFFFF"/>
        </w:rPr>
        <w:t xml:space="preserve"> and </w:t>
      </w:r>
      <w:r w:rsidR="00DD1ACD" w:rsidRPr="00571A5F">
        <w:rPr>
          <w:rFonts w:asciiTheme="majorBidi" w:hAnsiTheme="majorBidi" w:cstheme="majorBidi"/>
          <w:sz w:val="28"/>
          <w:szCs w:val="28"/>
          <w:shd w:val="clear" w:color="auto" w:fill="FFFFFF"/>
        </w:rPr>
        <w:t>Ait-Oudhia, S.  </w:t>
      </w:r>
      <w:r w:rsidR="00DD1ACD" w:rsidRPr="00571A5F">
        <w:rPr>
          <w:rFonts w:asciiTheme="majorBidi" w:hAnsiTheme="majorBidi" w:cstheme="majorBidi"/>
          <w:b w:val="0"/>
          <w:bCs w:val="0"/>
          <w:sz w:val="28"/>
          <w:szCs w:val="28"/>
          <w:shd w:val="clear" w:color="auto" w:fill="FFFFFF"/>
        </w:rPr>
        <w:t>Insights into Doxorubicin-induced Cardiotoxicity: Molecular Mechanisms, Preventive Strategies, and Early Monitoring. Molecular Pharmacology, mol, 2019, 119.115725.</w:t>
      </w:r>
    </w:p>
    <w:p w:rsidR="00DD1ACD" w:rsidRPr="00571A5F" w:rsidRDefault="00577C8F" w:rsidP="00571A5F">
      <w:pPr>
        <w:pStyle w:val="Heading1"/>
        <w:shd w:val="clear" w:color="auto" w:fill="FFFFFF"/>
        <w:spacing w:line="360" w:lineRule="auto"/>
        <w:jc w:val="both"/>
        <w:rPr>
          <w:rFonts w:asciiTheme="majorBidi" w:eastAsiaTheme="minorEastAsia" w:hAnsiTheme="majorBidi" w:cstheme="majorBidi"/>
          <w:b w:val="0"/>
          <w:bCs w:val="0"/>
          <w:sz w:val="28"/>
          <w:szCs w:val="28"/>
          <w:shd w:val="clear" w:color="auto" w:fill="FFFFFF"/>
          <w:lang w:val="en-GB" w:eastAsia="en-GB"/>
        </w:rPr>
      </w:pPr>
      <w:r w:rsidRPr="00571A5F">
        <w:rPr>
          <w:rFonts w:asciiTheme="majorBidi" w:eastAsiaTheme="minorEastAsia" w:hAnsiTheme="majorBidi" w:cstheme="majorBidi"/>
          <w:sz w:val="28"/>
          <w:szCs w:val="28"/>
          <w:shd w:val="clear" w:color="auto" w:fill="FFFFFF"/>
          <w:lang w:val="en-GB" w:eastAsia="en-GB"/>
        </w:rPr>
        <w:t>14-</w:t>
      </w:r>
      <w:r w:rsidR="00DD1ACD" w:rsidRPr="00571A5F">
        <w:rPr>
          <w:rFonts w:asciiTheme="majorBidi" w:eastAsiaTheme="minorEastAsia" w:hAnsiTheme="majorBidi" w:cstheme="majorBidi"/>
          <w:sz w:val="28"/>
          <w:szCs w:val="28"/>
          <w:shd w:val="clear" w:color="auto" w:fill="FFFFFF"/>
          <w:lang w:val="en-GB" w:eastAsia="en-GB"/>
        </w:rPr>
        <w:t>Stefani B., Isidora M., Nevena D., Marijana A., Nevena J.</w:t>
      </w:r>
      <w:r w:rsidR="007145DA" w:rsidRPr="00571A5F">
        <w:rPr>
          <w:rFonts w:asciiTheme="majorBidi" w:eastAsiaTheme="minorEastAsia" w:hAnsiTheme="majorBidi" w:cstheme="majorBidi"/>
          <w:sz w:val="28"/>
          <w:szCs w:val="28"/>
          <w:shd w:val="clear" w:color="auto" w:fill="FFFFFF"/>
          <w:lang w:val="en-GB" w:eastAsia="en-GB"/>
        </w:rPr>
        <w:t xml:space="preserve"> Draginic N.,</w:t>
      </w:r>
      <w:r w:rsidR="00DD1ACD" w:rsidRPr="00571A5F">
        <w:rPr>
          <w:rFonts w:asciiTheme="majorBidi" w:eastAsiaTheme="minorEastAsia" w:hAnsiTheme="majorBidi" w:cstheme="majorBidi"/>
          <w:sz w:val="28"/>
          <w:szCs w:val="28"/>
          <w:shd w:val="clear" w:color="auto" w:fill="FFFFFF"/>
          <w:lang w:val="en-GB" w:eastAsia="en-GB"/>
        </w:rPr>
        <w:t xml:space="preserve"> et al.</w:t>
      </w:r>
      <w:r w:rsidR="00DD1ACD" w:rsidRPr="00571A5F">
        <w:rPr>
          <w:rFonts w:asciiTheme="majorBidi" w:eastAsiaTheme="minorEastAsia" w:hAnsiTheme="majorBidi" w:cstheme="majorBidi"/>
          <w:b w:val="0"/>
          <w:bCs w:val="0"/>
          <w:sz w:val="28"/>
          <w:szCs w:val="28"/>
          <w:shd w:val="clear" w:color="auto" w:fill="FFFFFF"/>
          <w:lang w:val="en-GB" w:eastAsia="en-GB"/>
        </w:rPr>
        <w:t xml:space="preserve"> </w:t>
      </w:r>
      <w:bookmarkStart w:id="49" w:name="OLE_LINK34"/>
      <w:bookmarkStart w:id="50" w:name="OLE_LINK35"/>
      <w:r w:rsidR="00DD1ACD" w:rsidRPr="00571A5F">
        <w:rPr>
          <w:rFonts w:asciiTheme="majorBidi" w:eastAsiaTheme="minorEastAsia" w:hAnsiTheme="majorBidi" w:cstheme="majorBidi"/>
          <w:b w:val="0"/>
          <w:bCs w:val="0"/>
          <w:sz w:val="28"/>
          <w:szCs w:val="28"/>
          <w:shd w:val="clear" w:color="auto" w:fill="FFFFFF"/>
          <w:lang w:val="en-GB" w:eastAsia="en-GB"/>
        </w:rPr>
        <w:t>The Effect of the Chronic Administration of DPP4-Inhibitors on Systemic Oxidative Stress in Rats with Diabetes Type 2</w:t>
      </w:r>
      <w:bookmarkEnd w:id="49"/>
      <w:bookmarkEnd w:id="50"/>
      <w:r w:rsidR="00DD1ACD" w:rsidRPr="00571A5F">
        <w:rPr>
          <w:rFonts w:asciiTheme="majorBidi" w:eastAsiaTheme="minorEastAsia" w:hAnsiTheme="majorBidi" w:cstheme="majorBidi"/>
          <w:b w:val="0"/>
          <w:bCs w:val="0"/>
          <w:sz w:val="28"/>
          <w:szCs w:val="28"/>
          <w:shd w:val="clear" w:color="auto" w:fill="FFFFFF"/>
          <w:lang w:val="en-GB" w:eastAsia="en-GB"/>
        </w:rPr>
        <w:t>. Ser J Exp Clin Res 2019; 20 (3): 199-206.</w:t>
      </w:r>
    </w:p>
    <w:p w:rsidR="00DD1ACD" w:rsidRPr="00571A5F" w:rsidRDefault="00577C8F" w:rsidP="00571A5F">
      <w:pPr>
        <w:pStyle w:val="Heading1"/>
        <w:shd w:val="clear" w:color="auto" w:fill="FFFFFF"/>
        <w:spacing w:line="360" w:lineRule="auto"/>
        <w:jc w:val="both"/>
        <w:rPr>
          <w:rFonts w:asciiTheme="majorBidi" w:hAnsiTheme="majorBidi" w:cstheme="majorBidi"/>
          <w:sz w:val="28"/>
          <w:szCs w:val="28"/>
        </w:rPr>
      </w:pPr>
      <w:r w:rsidRPr="00571A5F">
        <w:rPr>
          <w:rFonts w:asciiTheme="majorBidi" w:hAnsiTheme="majorBidi" w:cstheme="majorBidi"/>
          <w:color w:val="000000"/>
          <w:sz w:val="28"/>
          <w:szCs w:val="28"/>
        </w:rPr>
        <w:t>15-</w:t>
      </w:r>
      <w:r w:rsidR="00DD1ACD" w:rsidRPr="00571A5F">
        <w:rPr>
          <w:rFonts w:asciiTheme="majorBidi" w:hAnsiTheme="majorBidi" w:cstheme="majorBidi"/>
          <w:color w:val="000000"/>
          <w:sz w:val="28"/>
          <w:szCs w:val="28"/>
        </w:rPr>
        <w:t>Triggle, C. R., Ding, H., Marei, I., Anderson, T. J., &amp; Hollenberg, M. D. </w:t>
      </w:r>
      <w:r w:rsidR="00DD1ACD" w:rsidRPr="00571A5F">
        <w:rPr>
          <w:rFonts w:asciiTheme="majorBidi" w:hAnsiTheme="majorBidi" w:cstheme="majorBidi"/>
          <w:b w:val="0"/>
          <w:bCs w:val="0"/>
          <w:color w:val="000000"/>
          <w:sz w:val="28"/>
          <w:szCs w:val="28"/>
        </w:rPr>
        <w:t>Why the endothelium? The endothelium as a target to reduce diabetes-associated vascular disease. Canadian Journal of Physiology and Pharmacology.</w:t>
      </w:r>
      <w:r w:rsidR="00DD1ACD" w:rsidRPr="00571A5F">
        <w:rPr>
          <w:rFonts w:asciiTheme="majorBidi" w:hAnsiTheme="majorBidi" w:cstheme="majorBidi"/>
          <w:b w:val="0"/>
          <w:bCs w:val="0"/>
          <w:sz w:val="28"/>
          <w:szCs w:val="28"/>
        </w:rPr>
        <w:t xml:space="preserve"> 98, 2020</w:t>
      </w:r>
      <w:bookmarkStart w:id="51" w:name="OLE_LINK21"/>
      <w:r w:rsidR="00DD1ACD" w:rsidRPr="00571A5F">
        <w:rPr>
          <w:rFonts w:asciiTheme="majorBidi" w:hAnsiTheme="majorBidi" w:cstheme="majorBidi"/>
          <w:b w:val="0"/>
          <w:bCs w:val="0"/>
          <w:sz w:val="28"/>
          <w:szCs w:val="28"/>
        </w:rPr>
        <w:t>.</w:t>
      </w:r>
    </w:p>
    <w:bookmarkEnd w:id="51"/>
    <w:p w:rsidR="00DD1ACD" w:rsidRPr="00571A5F" w:rsidRDefault="00577C8F"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sidRPr="00571A5F">
        <w:rPr>
          <w:rFonts w:asciiTheme="majorBidi" w:hAnsiTheme="majorBidi" w:cstheme="majorBidi"/>
          <w:b/>
          <w:bCs/>
          <w:sz w:val="28"/>
          <w:szCs w:val="28"/>
          <w:shd w:val="clear" w:color="auto" w:fill="FFFFFF"/>
        </w:rPr>
        <w:t>16-</w:t>
      </w:r>
      <w:r w:rsidR="00DD1ACD" w:rsidRPr="00571A5F">
        <w:rPr>
          <w:rFonts w:asciiTheme="majorBidi" w:hAnsiTheme="majorBidi" w:cstheme="majorBidi"/>
          <w:b/>
          <w:bCs/>
          <w:sz w:val="28"/>
          <w:szCs w:val="28"/>
          <w:shd w:val="clear" w:color="auto" w:fill="FFFFFF"/>
        </w:rPr>
        <w:t xml:space="preserve">Sharma  A, Parikh M, Shah H and Gandhi T. </w:t>
      </w:r>
      <w:bookmarkStart w:id="52" w:name="OLE_LINK42"/>
      <w:r w:rsidR="00DD1ACD" w:rsidRPr="00571A5F">
        <w:rPr>
          <w:rFonts w:asciiTheme="majorBidi" w:hAnsiTheme="majorBidi" w:cstheme="majorBidi"/>
          <w:sz w:val="28"/>
          <w:szCs w:val="28"/>
          <w:shd w:val="clear" w:color="auto" w:fill="FFFFFF"/>
        </w:rPr>
        <w:t>Modulation of Nrf2 by quercetin in doxorubicin-treated rats</w:t>
      </w:r>
      <w:bookmarkEnd w:id="52"/>
      <w:r w:rsidR="007145DA" w:rsidRPr="00571A5F">
        <w:rPr>
          <w:rFonts w:asciiTheme="majorBidi" w:hAnsiTheme="majorBidi" w:cstheme="majorBidi"/>
          <w:sz w:val="28"/>
          <w:szCs w:val="28"/>
          <w:shd w:val="clear" w:color="auto" w:fill="FFFFFF"/>
        </w:rPr>
        <w:t>. Heliyon. 20</w:t>
      </w:r>
      <w:r w:rsidR="00DD1ACD" w:rsidRPr="00571A5F">
        <w:rPr>
          <w:rFonts w:asciiTheme="majorBidi" w:hAnsiTheme="majorBidi" w:cstheme="majorBidi"/>
          <w:sz w:val="28"/>
          <w:szCs w:val="28"/>
          <w:shd w:val="clear" w:color="auto" w:fill="FFFFFF"/>
        </w:rPr>
        <w:t xml:space="preserve">20;6(4):e03803. </w:t>
      </w:r>
    </w:p>
    <w:p w:rsidR="00DD1ACD" w:rsidRPr="00571A5F" w:rsidRDefault="00577C8F" w:rsidP="00571A5F">
      <w:pPr>
        <w:pStyle w:val="Heading1"/>
        <w:shd w:val="clear" w:color="auto" w:fill="FFFFFF"/>
        <w:spacing w:line="360" w:lineRule="auto"/>
        <w:jc w:val="both"/>
        <w:rPr>
          <w:rFonts w:asciiTheme="majorBidi" w:hAnsiTheme="majorBidi" w:cstheme="majorBidi"/>
          <w:b w:val="0"/>
          <w:bCs w:val="0"/>
          <w:sz w:val="28"/>
          <w:szCs w:val="28"/>
          <w:shd w:val="clear" w:color="auto" w:fill="FFFFFF"/>
        </w:rPr>
      </w:pPr>
      <w:r w:rsidRPr="00571A5F">
        <w:rPr>
          <w:rFonts w:asciiTheme="majorBidi" w:hAnsiTheme="majorBidi" w:cstheme="majorBidi"/>
          <w:sz w:val="28"/>
          <w:szCs w:val="28"/>
          <w:shd w:val="clear" w:color="auto" w:fill="FFFFFF"/>
        </w:rPr>
        <w:t>17-</w:t>
      </w:r>
      <w:r w:rsidR="00DD1ACD" w:rsidRPr="00571A5F">
        <w:rPr>
          <w:rFonts w:asciiTheme="majorBidi" w:hAnsiTheme="majorBidi" w:cstheme="majorBidi"/>
          <w:sz w:val="28"/>
          <w:szCs w:val="28"/>
          <w:shd w:val="clear" w:color="auto" w:fill="FFFFFF"/>
        </w:rPr>
        <w:t>Xiaoping H., Baijun L., Luocheng L., Bowen L., Jinlong L. and  Bin S. "</w:t>
      </w:r>
      <w:r w:rsidR="00DD1ACD" w:rsidRPr="00571A5F">
        <w:rPr>
          <w:rFonts w:asciiTheme="majorBidi" w:hAnsiTheme="majorBidi" w:cstheme="majorBidi"/>
          <w:b w:val="0"/>
          <w:bCs w:val="0"/>
          <w:sz w:val="28"/>
          <w:szCs w:val="28"/>
          <w:shd w:val="clear" w:color="auto" w:fill="FFFFFF"/>
        </w:rPr>
        <w:t>Asiatic Acid Protects against Doxorubicin-Induced Cardiotoxicity in Mice", Oxidative Medicine and Cellular Longevity, 2020, Article ID 5347204, 12 pages.</w:t>
      </w:r>
    </w:p>
    <w:p w:rsidR="00DD1ACD" w:rsidRPr="00571A5F" w:rsidRDefault="00577C8F" w:rsidP="002B5ED9">
      <w:pPr>
        <w:autoSpaceDE w:val="0"/>
        <w:autoSpaceDN w:val="0"/>
        <w:bidi w:val="0"/>
        <w:adjustRightInd w:val="0"/>
        <w:spacing w:after="100" w:afterAutospacing="1" w:line="360" w:lineRule="auto"/>
        <w:ind w:left="84"/>
        <w:jc w:val="both"/>
        <w:rPr>
          <w:rFonts w:asciiTheme="majorBidi" w:hAnsiTheme="majorBidi" w:cstheme="majorBidi"/>
          <w:b/>
          <w:bCs/>
          <w:sz w:val="28"/>
          <w:szCs w:val="28"/>
          <w:rtl/>
          <w:lang w:bidi="ar-EG"/>
        </w:rPr>
      </w:pPr>
      <w:r w:rsidRPr="00571A5F">
        <w:rPr>
          <w:rFonts w:asciiTheme="majorBidi" w:hAnsiTheme="majorBidi" w:cstheme="majorBidi"/>
          <w:b/>
          <w:bCs/>
          <w:sz w:val="28"/>
          <w:szCs w:val="28"/>
        </w:rPr>
        <w:t>18-</w:t>
      </w:r>
      <w:r w:rsidR="00DD1ACD" w:rsidRPr="00571A5F">
        <w:rPr>
          <w:rFonts w:asciiTheme="majorBidi" w:hAnsiTheme="majorBidi" w:cstheme="majorBidi"/>
          <w:b/>
          <w:bCs/>
          <w:sz w:val="28"/>
          <w:szCs w:val="28"/>
        </w:rPr>
        <w:t xml:space="preserve">Abdul-Hadi MH, Naji MT, Shams HA, Sami OM, Al-Harchan </w:t>
      </w:r>
      <w:r w:rsidR="007145DA" w:rsidRPr="00571A5F">
        <w:rPr>
          <w:rFonts w:asciiTheme="majorBidi" w:hAnsiTheme="majorBidi" w:cstheme="majorBidi"/>
          <w:b/>
          <w:bCs/>
          <w:sz w:val="28"/>
          <w:szCs w:val="28"/>
        </w:rPr>
        <w:t>NA, Al-Kuraishy HM, et al</w:t>
      </w:r>
      <w:r w:rsidR="00DD1ACD" w:rsidRPr="00571A5F">
        <w:rPr>
          <w:rFonts w:asciiTheme="majorBidi" w:hAnsiTheme="majorBidi" w:cstheme="majorBidi"/>
          <w:b/>
          <w:bCs/>
          <w:sz w:val="28"/>
          <w:szCs w:val="28"/>
        </w:rPr>
        <w:t xml:space="preserve">. </w:t>
      </w:r>
      <w:bookmarkStart w:id="53" w:name="OLE_LINK53"/>
      <w:r w:rsidR="00DD1ACD" w:rsidRPr="00571A5F">
        <w:rPr>
          <w:rFonts w:asciiTheme="majorBidi" w:hAnsiTheme="majorBidi" w:cstheme="majorBidi"/>
          <w:sz w:val="28"/>
          <w:szCs w:val="28"/>
        </w:rPr>
        <w:t>Oxidative stress injury and glucolipotoxicity in type 2 diabetes mellitus</w:t>
      </w:r>
      <w:bookmarkEnd w:id="53"/>
      <w:r w:rsidR="00DD1ACD" w:rsidRPr="00571A5F">
        <w:rPr>
          <w:rFonts w:asciiTheme="majorBidi" w:hAnsiTheme="majorBidi" w:cstheme="majorBidi"/>
          <w:sz w:val="28"/>
          <w:szCs w:val="28"/>
        </w:rPr>
        <w:t>: The potential role of metformin and sitagliptin. Biomed Biotechnol Res J 2020;</w:t>
      </w:r>
      <w:r w:rsidR="00214C73" w:rsidRPr="00571A5F">
        <w:rPr>
          <w:rFonts w:asciiTheme="majorBidi" w:hAnsiTheme="majorBidi" w:cstheme="majorBidi"/>
          <w:sz w:val="28"/>
          <w:szCs w:val="28"/>
        </w:rPr>
        <w:t xml:space="preserve"> </w:t>
      </w:r>
      <w:r w:rsidR="00DD1ACD" w:rsidRPr="00571A5F">
        <w:rPr>
          <w:rFonts w:asciiTheme="majorBidi" w:hAnsiTheme="majorBidi" w:cstheme="majorBidi"/>
          <w:sz w:val="28"/>
          <w:szCs w:val="28"/>
        </w:rPr>
        <w:t>4:</w:t>
      </w:r>
      <w:r w:rsidR="00214C73" w:rsidRPr="00571A5F">
        <w:rPr>
          <w:rFonts w:asciiTheme="majorBidi" w:hAnsiTheme="majorBidi" w:cstheme="majorBidi"/>
          <w:sz w:val="28"/>
          <w:szCs w:val="28"/>
        </w:rPr>
        <w:t xml:space="preserve"> </w:t>
      </w:r>
      <w:r w:rsidR="00DD1ACD" w:rsidRPr="00571A5F">
        <w:rPr>
          <w:rFonts w:asciiTheme="majorBidi" w:hAnsiTheme="majorBidi" w:cstheme="majorBidi"/>
          <w:sz w:val="28"/>
          <w:szCs w:val="28"/>
        </w:rPr>
        <w:t>166</w:t>
      </w:r>
      <w:r w:rsidR="00214C73" w:rsidRPr="00571A5F">
        <w:rPr>
          <w:rFonts w:asciiTheme="majorBidi" w:hAnsiTheme="majorBidi" w:cstheme="majorBidi"/>
          <w:sz w:val="28"/>
          <w:szCs w:val="28"/>
        </w:rPr>
        <w:t xml:space="preserve"> </w:t>
      </w:r>
      <w:r w:rsidR="00DD1ACD" w:rsidRPr="00571A5F">
        <w:rPr>
          <w:rFonts w:asciiTheme="majorBidi" w:hAnsiTheme="majorBidi" w:cstheme="majorBidi"/>
          <w:sz w:val="28"/>
          <w:szCs w:val="28"/>
        </w:rPr>
        <w:t>-</w:t>
      </w:r>
      <w:r w:rsidR="00214C73" w:rsidRPr="00571A5F">
        <w:rPr>
          <w:rFonts w:asciiTheme="majorBidi" w:hAnsiTheme="majorBidi" w:cstheme="majorBidi"/>
          <w:sz w:val="28"/>
          <w:szCs w:val="28"/>
        </w:rPr>
        <w:t xml:space="preserve"> </w:t>
      </w:r>
      <w:r w:rsidR="00DD1ACD" w:rsidRPr="00571A5F">
        <w:rPr>
          <w:rFonts w:asciiTheme="majorBidi" w:hAnsiTheme="majorBidi" w:cstheme="majorBidi"/>
          <w:sz w:val="28"/>
          <w:szCs w:val="28"/>
        </w:rPr>
        <w:t>72.</w:t>
      </w:r>
    </w:p>
    <w:p w:rsidR="00DD1ACD" w:rsidRPr="00571A5F" w:rsidRDefault="002E4383"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Pr>
          <w:rFonts w:asciiTheme="majorBidi" w:hAnsiTheme="majorBidi" w:cstheme="majorBidi"/>
          <w:b/>
          <w:bCs/>
          <w:sz w:val="28"/>
          <w:szCs w:val="28"/>
          <w:shd w:val="clear" w:color="auto" w:fill="FFFFFF"/>
        </w:rPr>
        <w:t>19</w:t>
      </w:r>
      <w:r w:rsidR="00577C8F" w:rsidRPr="00571A5F">
        <w:rPr>
          <w:rFonts w:asciiTheme="majorBidi" w:hAnsiTheme="majorBidi" w:cstheme="majorBidi"/>
          <w:b/>
          <w:bCs/>
          <w:sz w:val="28"/>
          <w:szCs w:val="28"/>
          <w:shd w:val="clear" w:color="auto" w:fill="FFFFFF"/>
        </w:rPr>
        <w:t>-</w:t>
      </w:r>
      <w:r w:rsidR="00DD1ACD" w:rsidRPr="00571A5F">
        <w:rPr>
          <w:rFonts w:asciiTheme="majorBidi" w:hAnsiTheme="majorBidi" w:cstheme="majorBidi"/>
          <w:b/>
          <w:bCs/>
          <w:sz w:val="28"/>
          <w:szCs w:val="28"/>
          <w:shd w:val="clear" w:color="auto" w:fill="FFFFFF"/>
        </w:rPr>
        <w:t xml:space="preserve">Baniahmad B, Safaeian L, Vaseghi G, Rabbani M and Mohammadi B. </w:t>
      </w:r>
      <w:r w:rsidR="00DD1ACD" w:rsidRPr="00571A5F">
        <w:rPr>
          <w:rFonts w:asciiTheme="majorBidi" w:hAnsiTheme="majorBidi" w:cstheme="majorBidi"/>
          <w:sz w:val="28"/>
          <w:szCs w:val="28"/>
          <w:shd w:val="clear" w:color="auto" w:fill="FFFFFF"/>
        </w:rPr>
        <w:t>Cardioprotective effect of vanillic acid against doxorubicin-induced cardiotoxicity in</w:t>
      </w:r>
      <w:r w:rsidR="002B5ED9">
        <w:rPr>
          <w:rFonts w:asciiTheme="majorBidi" w:hAnsiTheme="majorBidi" w:cstheme="majorBidi"/>
          <w:sz w:val="28"/>
          <w:szCs w:val="28"/>
          <w:shd w:val="clear" w:color="auto" w:fill="FFFFFF"/>
        </w:rPr>
        <w:t xml:space="preserve"> rat. Res Pharm Sci. 2020</w:t>
      </w:r>
      <w:r w:rsidR="00DD1ACD" w:rsidRPr="00571A5F">
        <w:rPr>
          <w:rFonts w:asciiTheme="majorBidi" w:hAnsiTheme="majorBidi" w:cstheme="majorBidi"/>
          <w:sz w:val="28"/>
          <w:szCs w:val="28"/>
          <w:shd w:val="clear" w:color="auto" w:fill="FFFFFF"/>
        </w:rPr>
        <w:t xml:space="preserve">;15(1):87-96. </w:t>
      </w:r>
    </w:p>
    <w:p w:rsidR="00DD1ACD" w:rsidRPr="00571A5F" w:rsidRDefault="002E4383"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Pr>
          <w:rFonts w:asciiTheme="majorBidi" w:hAnsiTheme="majorBidi" w:cstheme="majorBidi"/>
          <w:b/>
          <w:bCs/>
          <w:sz w:val="28"/>
          <w:szCs w:val="28"/>
          <w:shd w:val="clear" w:color="auto" w:fill="FFFFFF"/>
        </w:rPr>
        <w:t>20</w:t>
      </w:r>
      <w:r w:rsidR="00577C8F" w:rsidRPr="00571A5F">
        <w:rPr>
          <w:rFonts w:asciiTheme="majorBidi" w:hAnsiTheme="majorBidi" w:cstheme="majorBidi"/>
          <w:b/>
          <w:bCs/>
          <w:sz w:val="28"/>
          <w:szCs w:val="28"/>
          <w:shd w:val="clear" w:color="auto" w:fill="FFFFFF"/>
        </w:rPr>
        <w:t>-</w:t>
      </w:r>
      <w:r w:rsidR="007145DA" w:rsidRPr="00571A5F">
        <w:rPr>
          <w:rFonts w:asciiTheme="majorBidi" w:hAnsiTheme="majorBidi" w:cstheme="majorBidi"/>
          <w:b/>
          <w:bCs/>
          <w:sz w:val="28"/>
          <w:szCs w:val="28"/>
          <w:shd w:val="clear" w:color="auto" w:fill="FFFFFF"/>
        </w:rPr>
        <w:t>Lee S. F., Luque F., Chen,Y. H., Catalano P. J., Chiang C. L., Wan E., et al</w:t>
      </w:r>
      <w:r w:rsidR="00DD1ACD" w:rsidRPr="00571A5F">
        <w:rPr>
          <w:rFonts w:asciiTheme="majorBidi" w:hAnsiTheme="majorBidi" w:cstheme="majorBidi"/>
          <w:b/>
          <w:bCs/>
          <w:sz w:val="28"/>
          <w:szCs w:val="28"/>
          <w:shd w:val="clear" w:color="auto" w:fill="FFFFFF"/>
        </w:rPr>
        <w:t>.</w:t>
      </w:r>
      <w:r w:rsidR="00DD1ACD" w:rsidRPr="00571A5F">
        <w:rPr>
          <w:rFonts w:asciiTheme="majorBidi" w:hAnsiTheme="majorBidi" w:cstheme="majorBidi"/>
          <w:sz w:val="28"/>
          <w:szCs w:val="28"/>
        </w:rPr>
        <w:t xml:space="preserve"> Doxorubicin and subsequent risk of cardiovascular diseases among survivors of diffuse large B-cell lymphoma in Hong Kong. Blood Advances,2020. 4(20), 5107–5117.  </w:t>
      </w:r>
    </w:p>
    <w:p w:rsidR="00DD1ACD" w:rsidRPr="00571A5F" w:rsidRDefault="002E4383"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r>
        <w:rPr>
          <w:rFonts w:asciiTheme="majorBidi" w:hAnsiTheme="majorBidi" w:cstheme="majorBidi"/>
          <w:b/>
          <w:bCs/>
          <w:sz w:val="28"/>
          <w:szCs w:val="28"/>
          <w:shd w:val="clear" w:color="auto" w:fill="FFFFFF"/>
        </w:rPr>
        <w:t>21</w:t>
      </w:r>
      <w:r w:rsidR="00577C8F" w:rsidRPr="00571A5F">
        <w:rPr>
          <w:rFonts w:asciiTheme="majorBidi" w:hAnsiTheme="majorBidi" w:cstheme="majorBidi"/>
          <w:b/>
          <w:bCs/>
          <w:sz w:val="28"/>
          <w:szCs w:val="28"/>
          <w:shd w:val="clear" w:color="auto" w:fill="FFFFFF"/>
        </w:rPr>
        <w:t>-</w:t>
      </w:r>
      <w:r w:rsidR="00DD1ACD" w:rsidRPr="00571A5F">
        <w:rPr>
          <w:rFonts w:asciiTheme="majorBidi" w:hAnsiTheme="majorBidi" w:cstheme="majorBidi"/>
          <w:b/>
          <w:bCs/>
          <w:sz w:val="28"/>
          <w:szCs w:val="28"/>
          <w:shd w:val="clear" w:color="auto" w:fill="FFFFFF"/>
        </w:rPr>
        <w:t>Fabiani, I. ,  Aimo, A. ,  Grigoratos, C. ,  Castiglione, V. , Gentil</w:t>
      </w:r>
      <w:r>
        <w:rPr>
          <w:rFonts w:asciiTheme="majorBidi" w:hAnsiTheme="majorBidi" w:cstheme="majorBidi"/>
          <w:b/>
          <w:bCs/>
          <w:sz w:val="28"/>
          <w:szCs w:val="28"/>
          <w:shd w:val="clear" w:color="auto" w:fill="FFFFFF"/>
        </w:rPr>
        <w:t>e, F. , Saccaro, L. et al</w:t>
      </w:r>
      <w:r w:rsidR="00DD1ACD" w:rsidRPr="00571A5F">
        <w:rPr>
          <w:rFonts w:asciiTheme="majorBidi" w:hAnsiTheme="majorBidi" w:cstheme="majorBidi"/>
          <w:b/>
          <w:bCs/>
          <w:sz w:val="28"/>
          <w:szCs w:val="28"/>
          <w:shd w:val="clear" w:color="auto" w:fill="FFFFFF"/>
        </w:rPr>
        <w:t>.</w:t>
      </w:r>
      <w:r w:rsidR="00DD1ACD" w:rsidRPr="00571A5F">
        <w:rPr>
          <w:rFonts w:asciiTheme="majorBidi" w:hAnsiTheme="majorBidi" w:cstheme="majorBidi"/>
          <w:sz w:val="28"/>
          <w:szCs w:val="28"/>
          <w:shd w:val="clear" w:color="auto" w:fill="FFFFFF"/>
        </w:rPr>
        <w:t xml:space="preserve"> Oxidative stress and inflammation: determinants of anthracycline cardiotoxicity and possible therapeutic </w:t>
      </w:r>
      <w:r>
        <w:rPr>
          <w:rFonts w:asciiTheme="majorBidi" w:hAnsiTheme="majorBidi" w:cstheme="majorBidi"/>
          <w:sz w:val="28"/>
          <w:szCs w:val="28"/>
          <w:shd w:val="clear" w:color="auto" w:fill="FFFFFF"/>
        </w:rPr>
        <w:t xml:space="preserve">targets. Heart Failure Reviews; 2020. </w:t>
      </w:r>
      <w:r w:rsidR="00DD1ACD" w:rsidRPr="00571A5F">
        <w:rPr>
          <w:rFonts w:asciiTheme="majorBidi" w:hAnsiTheme="majorBidi" w:cstheme="majorBidi"/>
          <w:sz w:val="28"/>
          <w:szCs w:val="28"/>
          <w:shd w:val="clear" w:color="auto" w:fill="FFFFFF"/>
        </w:rPr>
        <w:t>1-10. 10.1007/s10741-020-10063-9.</w:t>
      </w:r>
    </w:p>
    <w:p w:rsidR="00B3034F" w:rsidRPr="00571A5F" w:rsidRDefault="002E4383" w:rsidP="00571A5F">
      <w:pPr>
        <w:pStyle w:val="Heading1"/>
        <w:shd w:val="clear" w:color="auto" w:fill="FFFFFF"/>
        <w:spacing w:line="360" w:lineRule="auto"/>
        <w:jc w:val="both"/>
        <w:rPr>
          <w:rFonts w:asciiTheme="majorBidi" w:hAnsiTheme="majorBidi" w:cstheme="majorBidi"/>
          <w:sz w:val="28"/>
          <w:szCs w:val="28"/>
        </w:rPr>
      </w:pPr>
      <w:r>
        <w:rPr>
          <w:rFonts w:asciiTheme="majorBidi" w:hAnsiTheme="majorBidi" w:cstheme="majorBidi"/>
          <w:sz w:val="28"/>
          <w:szCs w:val="28"/>
        </w:rPr>
        <w:t>22</w:t>
      </w:r>
      <w:r w:rsidR="00577C8F" w:rsidRPr="00571A5F">
        <w:rPr>
          <w:rFonts w:asciiTheme="majorBidi" w:hAnsiTheme="majorBidi" w:cstheme="majorBidi"/>
          <w:sz w:val="28"/>
          <w:szCs w:val="28"/>
        </w:rPr>
        <w:t>-</w:t>
      </w:r>
      <w:r w:rsidR="00DD1ACD" w:rsidRPr="00571A5F">
        <w:rPr>
          <w:rFonts w:asciiTheme="majorBidi" w:hAnsiTheme="majorBidi" w:cstheme="majorBidi"/>
          <w:sz w:val="28"/>
          <w:szCs w:val="28"/>
        </w:rPr>
        <w:t>Steven, S., Hausding, M., Kröller-Schön, S., Mader, M., M</w:t>
      </w:r>
      <w:r w:rsidR="007145DA" w:rsidRPr="00571A5F">
        <w:rPr>
          <w:rFonts w:asciiTheme="majorBidi" w:hAnsiTheme="majorBidi" w:cstheme="majorBidi"/>
          <w:sz w:val="28"/>
          <w:szCs w:val="28"/>
        </w:rPr>
        <w:t>ikhed, Y., Stamm, P., et al.</w:t>
      </w:r>
      <w:r w:rsidR="00DD1ACD" w:rsidRPr="00571A5F">
        <w:rPr>
          <w:rFonts w:asciiTheme="majorBidi" w:hAnsiTheme="majorBidi" w:cstheme="majorBidi"/>
          <w:sz w:val="28"/>
          <w:szCs w:val="28"/>
        </w:rPr>
        <w:t> </w:t>
      </w:r>
      <w:r w:rsidR="00DD1ACD" w:rsidRPr="00571A5F">
        <w:rPr>
          <w:rFonts w:asciiTheme="majorBidi" w:hAnsiTheme="majorBidi" w:cstheme="majorBidi"/>
          <w:b w:val="0"/>
          <w:bCs w:val="0"/>
          <w:sz w:val="28"/>
          <w:szCs w:val="28"/>
        </w:rPr>
        <w:t>Gliptin and GLP</w:t>
      </w:r>
      <w:r w:rsidR="00DD1ACD" w:rsidRPr="00571A5F">
        <w:rPr>
          <w:rFonts w:ascii="Cambria Math" w:hAnsi="Cambria Math" w:cs="Cambria Math"/>
          <w:b w:val="0"/>
          <w:bCs w:val="0"/>
          <w:sz w:val="28"/>
          <w:szCs w:val="28"/>
        </w:rPr>
        <w:t>‐</w:t>
      </w:r>
      <w:r w:rsidR="00DD1ACD" w:rsidRPr="00571A5F">
        <w:rPr>
          <w:rFonts w:asciiTheme="majorBidi" w:hAnsiTheme="majorBidi" w:cstheme="majorBidi"/>
          <w:b w:val="0"/>
          <w:bCs w:val="0"/>
          <w:sz w:val="28"/>
          <w:szCs w:val="28"/>
        </w:rPr>
        <w:t>1 analog treatment improves survival and vascular inflammation/dysfunction in animals with lipopolysaccharide</w:t>
      </w:r>
      <w:r w:rsidR="00DD1ACD" w:rsidRPr="00571A5F">
        <w:rPr>
          <w:rFonts w:ascii="Cambria Math" w:hAnsi="Cambria Math" w:cs="Cambria Math"/>
          <w:b w:val="0"/>
          <w:bCs w:val="0"/>
          <w:sz w:val="28"/>
          <w:szCs w:val="28"/>
        </w:rPr>
        <w:t>‐</w:t>
      </w:r>
      <w:r w:rsidR="00DD1ACD" w:rsidRPr="00571A5F">
        <w:rPr>
          <w:rFonts w:asciiTheme="majorBidi" w:hAnsiTheme="majorBidi" w:cstheme="majorBidi"/>
          <w:b w:val="0"/>
          <w:bCs w:val="0"/>
          <w:sz w:val="28"/>
          <w:szCs w:val="28"/>
        </w:rPr>
        <w:t>induced endotoxemia. Basic Research in Cardiology 2015; 110(2).</w:t>
      </w:r>
      <w:r w:rsidR="00DD1ACD" w:rsidRPr="00571A5F">
        <w:rPr>
          <w:rFonts w:asciiTheme="majorBidi" w:hAnsiTheme="majorBidi" w:cstheme="majorBidi"/>
          <w:sz w:val="28"/>
          <w:szCs w:val="28"/>
        </w:rPr>
        <w:t> </w:t>
      </w:r>
      <w:bookmarkStart w:id="54" w:name="OLE_LINK22"/>
    </w:p>
    <w:p w:rsidR="00DD1ACD" w:rsidRPr="00571A5F" w:rsidRDefault="002E4383" w:rsidP="00571A5F">
      <w:pPr>
        <w:pStyle w:val="Heading1"/>
        <w:shd w:val="clear" w:color="auto" w:fill="FFFFFF"/>
        <w:spacing w:line="360" w:lineRule="auto"/>
        <w:jc w:val="both"/>
        <w:rPr>
          <w:rFonts w:asciiTheme="majorBidi" w:hAnsiTheme="majorBidi" w:cstheme="majorBidi"/>
          <w:sz w:val="28"/>
          <w:szCs w:val="28"/>
        </w:rPr>
      </w:pPr>
      <w:r>
        <w:rPr>
          <w:rFonts w:asciiTheme="majorBidi" w:hAnsiTheme="majorBidi" w:cstheme="majorBidi"/>
          <w:b w:val="0"/>
          <w:bCs w:val="0"/>
          <w:sz w:val="28"/>
          <w:szCs w:val="28"/>
          <w:shd w:val="clear" w:color="auto" w:fill="FFFFFF"/>
        </w:rPr>
        <w:t>23</w:t>
      </w:r>
      <w:r w:rsidR="00577C8F" w:rsidRPr="00571A5F">
        <w:rPr>
          <w:rFonts w:asciiTheme="majorBidi" w:hAnsiTheme="majorBidi" w:cstheme="majorBidi"/>
          <w:b w:val="0"/>
          <w:bCs w:val="0"/>
          <w:sz w:val="28"/>
          <w:szCs w:val="28"/>
          <w:shd w:val="clear" w:color="auto" w:fill="FFFFFF"/>
        </w:rPr>
        <w:t>-</w:t>
      </w:r>
      <w:hyperlink r:id="rId8" w:tooltip="Flavia L. Martins" w:history="1">
        <w:bookmarkStart w:id="55" w:name="OLE_LINK29"/>
        <w:bookmarkStart w:id="56" w:name="OLE_LINK28"/>
        <w:r w:rsidR="00DD1ACD" w:rsidRPr="00571A5F">
          <w:rPr>
            <w:rFonts w:asciiTheme="majorBidi" w:hAnsiTheme="majorBidi" w:cstheme="majorBidi"/>
            <w:sz w:val="28"/>
            <w:szCs w:val="28"/>
            <w:shd w:val="clear" w:color="auto" w:fill="FFFFFF"/>
          </w:rPr>
          <w:t xml:space="preserve">Flavia </w:t>
        </w:r>
        <w:bookmarkEnd w:id="55"/>
        <w:bookmarkEnd w:id="56"/>
        <w:r w:rsidR="00DD1ACD" w:rsidRPr="00571A5F">
          <w:rPr>
            <w:rFonts w:asciiTheme="majorBidi" w:hAnsiTheme="majorBidi" w:cstheme="majorBidi"/>
            <w:sz w:val="28"/>
            <w:szCs w:val="28"/>
            <w:shd w:val="clear" w:color="auto" w:fill="FFFFFF"/>
          </w:rPr>
          <w:t xml:space="preserve">L. </w:t>
        </w:r>
      </w:hyperlink>
      <w:r w:rsidR="00B3034F" w:rsidRPr="00571A5F">
        <w:rPr>
          <w:rFonts w:asciiTheme="majorBidi" w:hAnsiTheme="majorBidi" w:cstheme="majorBidi"/>
          <w:b w:val="0"/>
          <w:bCs w:val="0"/>
          <w:sz w:val="28"/>
          <w:szCs w:val="28"/>
          <w:shd w:val="clear" w:color="auto" w:fill="FFFFFF"/>
        </w:rPr>
        <w:t>,</w:t>
      </w:r>
      <w:hyperlink r:id="rId9" w:tooltip="Matthew A. Bailey" w:history="1">
        <w:r w:rsidR="00DD1ACD" w:rsidRPr="00571A5F">
          <w:rPr>
            <w:rFonts w:asciiTheme="majorBidi" w:hAnsiTheme="majorBidi" w:cstheme="majorBidi"/>
            <w:sz w:val="28"/>
            <w:szCs w:val="28"/>
            <w:shd w:val="clear" w:color="auto" w:fill="FFFFFF"/>
          </w:rPr>
          <w:t xml:space="preserve">Matthew A. </w:t>
        </w:r>
      </w:hyperlink>
      <w:r w:rsidR="007145DA" w:rsidRPr="00571A5F">
        <w:rPr>
          <w:rFonts w:asciiTheme="majorBidi" w:hAnsiTheme="majorBidi" w:cstheme="majorBidi"/>
          <w:sz w:val="28"/>
          <w:szCs w:val="28"/>
          <w:shd w:val="clear" w:color="auto" w:fill="FFFFFF"/>
        </w:rPr>
        <w:t>and</w:t>
      </w:r>
      <w:r w:rsidR="00DD1ACD" w:rsidRPr="00571A5F">
        <w:rPr>
          <w:rFonts w:asciiTheme="majorBidi" w:hAnsiTheme="majorBidi" w:cstheme="majorBidi"/>
          <w:sz w:val="28"/>
          <w:szCs w:val="28"/>
          <w:shd w:val="clear" w:color="auto" w:fill="FFFFFF"/>
        </w:rPr>
        <w:t xml:space="preserve"> </w:t>
      </w:r>
      <w:hyperlink r:id="rId10" w:tooltip="Adriana C.C. Girardi" w:history="1">
        <w:r w:rsidR="00DD1ACD" w:rsidRPr="00571A5F">
          <w:rPr>
            <w:rFonts w:asciiTheme="majorBidi" w:hAnsiTheme="majorBidi" w:cstheme="majorBidi"/>
            <w:sz w:val="28"/>
            <w:szCs w:val="28"/>
            <w:shd w:val="clear" w:color="auto" w:fill="FFFFFF"/>
          </w:rPr>
          <w:t>Adriana C.C. Girardi</w:t>
        </w:r>
      </w:hyperlink>
      <w:r w:rsidR="00DD1ACD" w:rsidRPr="00571A5F">
        <w:rPr>
          <w:rFonts w:asciiTheme="majorBidi" w:hAnsiTheme="majorBidi" w:cstheme="majorBidi"/>
          <w:sz w:val="28"/>
          <w:szCs w:val="28"/>
          <w:shd w:val="clear" w:color="auto" w:fill="FFFFFF"/>
        </w:rPr>
        <w:t xml:space="preserve">. </w:t>
      </w:r>
      <w:hyperlink r:id="rId11" w:history="1">
        <w:r w:rsidR="00DD1ACD" w:rsidRPr="00571A5F">
          <w:rPr>
            <w:rFonts w:asciiTheme="majorBidi" w:hAnsiTheme="majorBidi" w:cstheme="majorBidi"/>
            <w:b w:val="0"/>
            <w:bCs w:val="0"/>
            <w:sz w:val="28"/>
            <w:szCs w:val="28"/>
            <w:shd w:val="clear" w:color="auto" w:fill="FFFFFF"/>
          </w:rPr>
          <w:t>Endogenous Activation of Glucagon-Like Peptide-1 Receptor Contributes to Blood Pressure Control</w:t>
        </w:r>
      </w:hyperlink>
      <w:r w:rsidR="00DD1ACD" w:rsidRPr="00571A5F">
        <w:rPr>
          <w:rFonts w:asciiTheme="majorBidi" w:hAnsiTheme="majorBidi" w:cstheme="majorBidi"/>
          <w:b w:val="0"/>
          <w:bCs w:val="0"/>
          <w:sz w:val="28"/>
          <w:szCs w:val="28"/>
          <w:shd w:val="clear" w:color="auto" w:fill="FFFFFF"/>
        </w:rPr>
        <w:t>. Role of Proximal Tubule Na+/H+ Exchanger Isoform 3, Renal Angiotensin II, and Insulin Sensitivity Hypertension. 2020;76:839–848.</w:t>
      </w:r>
      <w:r w:rsidR="00DD1ACD" w:rsidRPr="00571A5F">
        <w:rPr>
          <w:rFonts w:asciiTheme="majorBidi" w:hAnsiTheme="majorBidi" w:cstheme="majorBidi"/>
          <w:sz w:val="28"/>
          <w:szCs w:val="28"/>
          <w:shd w:val="clear" w:color="auto" w:fill="FFFFFF"/>
        </w:rPr>
        <w:t xml:space="preserve"> </w:t>
      </w:r>
    </w:p>
    <w:p w:rsidR="00DD1ACD" w:rsidRPr="00571A5F" w:rsidRDefault="002E4383" w:rsidP="00571A5F">
      <w:pPr>
        <w:pStyle w:val="Heading1"/>
        <w:shd w:val="clear" w:color="auto" w:fill="FFFFFF"/>
        <w:spacing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24</w:t>
      </w:r>
      <w:r w:rsidR="00577C8F" w:rsidRPr="00571A5F">
        <w:rPr>
          <w:rFonts w:asciiTheme="majorBidi" w:hAnsiTheme="majorBidi" w:cstheme="majorBidi"/>
          <w:sz w:val="28"/>
          <w:szCs w:val="28"/>
          <w:shd w:val="clear" w:color="auto" w:fill="FFFFFF"/>
        </w:rPr>
        <w:t>-</w:t>
      </w:r>
      <w:r w:rsidR="007145DA" w:rsidRPr="00571A5F">
        <w:rPr>
          <w:rFonts w:asciiTheme="majorBidi" w:hAnsiTheme="majorBidi" w:cstheme="majorBidi"/>
          <w:sz w:val="28"/>
          <w:szCs w:val="28"/>
          <w:shd w:val="clear" w:color="auto" w:fill="FFFFFF"/>
        </w:rPr>
        <w:t>Wu Z., Yao H., Xu</w:t>
      </w:r>
      <w:r w:rsidR="00DD1ACD" w:rsidRPr="00571A5F">
        <w:rPr>
          <w:rFonts w:asciiTheme="majorBidi" w:hAnsiTheme="majorBidi" w:cstheme="majorBidi"/>
          <w:sz w:val="28"/>
          <w:szCs w:val="28"/>
          <w:shd w:val="clear" w:color="auto" w:fill="FFFFFF"/>
        </w:rPr>
        <w:t xml:space="preserve"> H.</w:t>
      </w:r>
      <w:r w:rsidR="007145DA" w:rsidRPr="00571A5F">
        <w:rPr>
          <w:rFonts w:asciiTheme="majorBidi" w:hAnsiTheme="majorBidi" w:cstheme="majorBidi"/>
          <w:sz w:val="28"/>
          <w:szCs w:val="28"/>
          <w:shd w:val="clear" w:color="auto" w:fill="FFFFFF"/>
        </w:rPr>
        <w:t>, Wang Y., Hu W., Lou G.</w:t>
      </w:r>
      <w:r w:rsidR="00DD1ACD" w:rsidRPr="00571A5F">
        <w:rPr>
          <w:rFonts w:asciiTheme="majorBidi" w:hAnsiTheme="majorBidi" w:cstheme="majorBidi"/>
          <w:sz w:val="28"/>
          <w:szCs w:val="28"/>
          <w:shd w:val="clear" w:color="auto" w:fill="FFFFFF"/>
        </w:rPr>
        <w:t> et al. </w:t>
      </w:r>
      <w:r w:rsidR="00DD1ACD" w:rsidRPr="00571A5F">
        <w:rPr>
          <w:rFonts w:asciiTheme="majorBidi" w:hAnsiTheme="majorBidi" w:cstheme="majorBidi"/>
          <w:b w:val="0"/>
          <w:bCs w:val="0"/>
          <w:sz w:val="28"/>
          <w:szCs w:val="28"/>
          <w:shd w:val="clear" w:color="auto" w:fill="FFFFFF"/>
        </w:rPr>
        <w:t>Inhibition of eNOS by L-NAME resulting in rat hind limb developmental defects through PFKFB3</w:t>
      </w:r>
      <w:r w:rsidR="007145DA" w:rsidRPr="00571A5F">
        <w:rPr>
          <w:rFonts w:asciiTheme="majorBidi" w:hAnsiTheme="majorBidi" w:cstheme="majorBidi"/>
          <w:b w:val="0"/>
          <w:bCs w:val="0"/>
          <w:sz w:val="28"/>
          <w:szCs w:val="28"/>
          <w:shd w:val="clear" w:color="auto" w:fill="FFFFFF"/>
        </w:rPr>
        <w:t xml:space="preserve"> mediated angiogenetic pathway. 2020; Sci Rep 10</w:t>
      </w:r>
      <w:r w:rsidR="00DD1ACD" w:rsidRPr="00571A5F">
        <w:rPr>
          <w:rFonts w:asciiTheme="majorBidi" w:hAnsiTheme="majorBidi" w:cstheme="majorBidi"/>
          <w:b w:val="0"/>
          <w:bCs w:val="0"/>
          <w:sz w:val="28"/>
          <w:szCs w:val="28"/>
          <w:shd w:val="clear" w:color="auto" w:fill="FFFFFF"/>
        </w:rPr>
        <w:t>.</w:t>
      </w:r>
      <w:r w:rsidR="00DD1ACD" w:rsidRPr="00571A5F">
        <w:rPr>
          <w:rFonts w:asciiTheme="majorBidi" w:hAnsiTheme="majorBidi" w:cstheme="majorBidi"/>
          <w:sz w:val="28"/>
          <w:szCs w:val="28"/>
          <w:shd w:val="clear" w:color="auto" w:fill="FFFFFF"/>
        </w:rPr>
        <w:t xml:space="preserve"> </w:t>
      </w:r>
    </w:p>
    <w:p w:rsidR="00DD1ACD" w:rsidRPr="00571A5F" w:rsidRDefault="00DD1ACD"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shd w:val="clear" w:color="auto" w:fill="FFFFFF"/>
        </w:rPr>
      </w:pPr>
    </w:p>
    <w:p w:rsidR="003753C3" w:rsidRPr="00571A5F" w:rsidRDefault="003753C3" w:rsidP="00571A5F">
      <w:pPr>
        <w:autoSpaceDE w:val="0"/>
        <w:autoSpaceDN w:val="0"/>
        <w:adjustRightInd w:val="0"/>
        <w:spacing w:after="0" w:line="360" w:lineRule="auto"/>
        <w:jc w:val="both"/>
        <w:rPr>
          <w:rFonts w:asciiTheme="majorBidi" w:hAnsiTheme="majorBidi" w:cstheme="majorBidi"/>
          <w:sz w:val="28"/>
          <w:szCs w:val="28"/>
          <w:shd w:val="clear" w:color="auto" w:fill="FFFFFF"/>
          <w:rtl/>
          <w:lang w:bidi="ar-EG"/>
        </w:rPr>
      </w:pPr>
      <w:bookmarkStart w:id="57" w:name="abstract"/>
      <w:bookmarkEnd w:id="54"/>
      <w:bookmarkEnd w:id="57"/>
    </w:p>
    <w:p w:rsidR="00FC72BF" w:rsidRPr="00571A5F" w:rsidRDefault="00FC72BF" w:rsidP="00571A5F">
      <w:pPr>
        <w:autoSpaceDE w:val="0"/>
        <w:autoSpaceDN w:val="0"/>
        <w:bidi w:val="0"/>
        <w:adjustRightInd w:val="0"/>
        <w:spacing w:after="100" w:afterAutospacing="1" w:line="360" w:lineRule="auto"/>
        <w:jc w:val="both"/>
        <w:rPr>
          <w:rFonts w:asciiTheme="majorBidi" w:hAnsiTheme="majorBidi" w:cstheme="majorBidi"/>
          <w:sz w:val="28"/>
          <w:szCs w:val="28"/>
        </w:rPr>
      </w:pPr>
    </w:p>
    <w:p w:rsidR="00FC72BF" w:rsidRPr="00571A5F" w:rsidRDefault="00FC72BF" w:rsidP="00571A5F">
      <w:pPr>
        <w:autoSpaceDE w:val="0"/>
        <w:autoSpaceDN w:val="0"/>
        <w:bidi w:val="0"/>
        <w:adjustRightInd w:val="0"/>
        <w:spacing w:after="100" w:afterAutospacing="1" w:line="360" w:lineRule="auto"/>
        <w:ind w:left="567" w:hanging="567"/>
        <w:jc w:val="both"/>
        <w:rPr>
          <w:rFonts w:asciiTheme="majorBidi" w:hAnsiTheme="majorBidi" w:cstheme="majorBidi"/>
          <w:sz w:val="28"/>
          <w:szCs w:val="28"/>
        </w:rPr>
      </w:pPr>
    </w:p>
    <w:p w:rsidR="00FC72BF" w:rsidRPr="00214C73" w:rsidRDefault="00FC72BF" w:rsidP="006017EA">
      <w:pPr>
        <w:autoSpaceDE w:val="0"/>
        <w:autoSpaceDN w:val="0"/>
        <w:adjustRightInd w:val="0"/>
        <w:spacing w:after="100" w:afterAutospacing="1" w:line="480" w:lineRule="auto"/>
        <w:ind w:left="567" w:hanging="567"/>
        <w:jc w:val="both"/>
        <w:rPr>
          <w:rFonts w:ascii="Times New Roman" w:hAnsi="Times New Roman" w:cs="Times New Roman"/>
          <w:b/>
          <w:bCs/>
          <w:sz w:val="28"/>
          <w:szCs w:val="28"/>
          <w:rtl/>
          <w:lang w:bidi="ar-EG"/>
        </w:rPr>
      </w:pPr>
    </w:p>
    <w:p w:rsidR="00FC72BF" w:rsidRPr="00214C73" w:rsidRDefault="00FC72BF" w:rsidP="006017EA">
      <w:pPr>
        <w:autoSpaceDE w:val="0"/>
        <w:autoSpaceDN w:val="0"/>
        <w:bidi w:val="0"/>
        <w:adjustRightInd w:val="0"/>
        <w:spacing w:after="100" w:afterAutospacing="1" w:line="480" w:lineRule="auto"/>
        <w:ind w:left="567" w:hanging="567"/>
        <w:jc w:val="both"/>
        <w:rPr>
          <w:rFonts w:ascii="Times New Roman" w:hAnsi="Times New Roman" w:cs="Times New Roman"/>
          <w:b/>
          <w:bCs/>
          <w:sz w:val="28"/>
          <w:szCs w:val="28"/>
          <w:rtl/>
        </w:rPr>
      </w:pPr>
    </w:p>
    <w:sectPr w:rsidR="00FC72BF" w:rsidRPr="00214C73" w:rsidSect="00BA45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0F6"/>
      </v:shape>
    </w:pict>
  </w:numPicBullet>
  <w:abstractNum w:abstractNumId="0" w15:restartNumberingAfterBreak="0">
    <w:nsid w:val="0B6023E4"/>
    <w:multiLevelType w:val="hybridMultilevel"/>
    <w:tmpl w:val="FCE4470E"/>
    <w:lvl w:ilvl="0" w:tplc="26F0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23F7"/>
    <w:multiLevelType w:val="hybridMultilevel"/>
    <w:tmpl w:val="E940EB4A"/>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2975221E"/>
    <w:multiLevelType w:val="hybridMultilevel"/>
    <w:tmpl w:val="FA2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7102"/>
    <w:multiLevelType w:val="hybridMultilevel"/>
    <w:tmpl w:val="432AEE60"/>
    <w:lvl w:ilvl="0" w:tplc="57FA772A">
      <w:start w:val="1"/>
      <w:numFmt w:val="decimal"/>
      <w:lvlText w:val="%1."/>
      <w:lvlJc w:val="left"/>
      <w:pPr>
        <w:ind w:left="1180" w:hanging="360"/>
      </w:pPr>
      <w:rPr>
        <w:rFonts w:ascii="Times New Roman" w:eastAsia="Times New Roman" w:hAnsi="Times New Roman" w:cs="Times New Roman" w:hint="default"/>
        <w:spacing w:val="0"/>
        <w:w w:val="100"/>
        <w:sz w:val="28"/>
        <w:szCs w:val="28"/>
        <w:lang w:val="en-US" w:eastAsia="en-US" w:bidi="en-US"/>
      </w:rPr>
    </w:lvl>
    <w:lvl w:ilvl="1" w:tplc="0726798E">
      <w:start w:val="1"/>
      <w:numFmt w:val="lowerLetter"/>
      <w:lvlText w:val="%2)"/>
      <w:lvlJc w:val="left"/>
      <w:pPr>
        <w:ind w:left="1540" w:hanging="360"/>
      </w:pPr>
      <w:rPr>
        <w:rFonts w:ascii="Times New Roman" w:eastAsia="Times New Roman" w:hAnsi="Times New Roman" w:cs="Times New Roman" w:hint="default"/>
        <w:w w:val="100"/>
        <w:sz w:val="28"/>
        <w:szCs w:val="28"/>
        <w:lang w:val="en-US" w:eastAsia="en-US" w:bidi="en-US"/>
      </w:rPr>
    </w:lvl>
    <w:lvl w:ilvl="2" w:tplc="DCF084BC">
      <w:numFmt w:val="bullet"/>
      <w:lvlText w:val="•"/>
      <w:lvlJc w:val="left"/>
      <w:pPr>
        <w:ind w:left="2418" w:hanging="360"/>
      </w:pPr>
      <w:rPr>
        <w:rFonts w:hint="default"/>
        <w:lang w:val="en-US" w:eastAsia="en-US" w:bidi="en-US"/>
      </w:rPr>
    </w:lvl>
    <w:lvl w:ilvl="3" w:tplc="B8EE2E2A">
      <w:numFmt w:val="bullet"/>
      <w:lvlText w:val="•"/>
      <w:lvlJc w:val="left"/>
      <w:pPr>
        <w:ind w:left="3296" w:hanging="360"/>
      </w:pPr>
      <w:rPr>
        <w:rFonts w:hint="default"/>
        <w:lang w:val="en-US" w:eastAsia="en-US" w:bidi="en-US"/>
      </w:rPr>
    </w:lvl>
    <w:lvl w:ilvl="4" w:tplc="815662FC">
      <w:numFmt w:val="bullet"/>
      <w:lvlText w:val="•"/>
      <w:lvlJc w:val="left"/>
      <w:pPr>
        <w:ind w:left="4175" w:hanging="360"/>
      </w:pPr>
      <w:rPr>
        <w:rFonts w:hint="default"/>
        <w:lang w:val="en-US" w:eastAsia="en-US" w:bidi="en-US"/>
      </w:rPr>
    </w:lvl>
    <w:lvl w:ilvl="5" w:tplc="CAD27490">
      <w:numFmt w:val="bullet"/>
      <w:lvlText w:val="•"/>
      <w:lvlJc w:val="left"/>
      <w:pPr>
        <w:ind w:left="5053" w:hanging="360"/>
      </w:pPr>
      <w:rPr>
        <w:rFonts w:hint="default"/>
        <w:lang w:val="en-US" w:eastAsia="en-US" w:bidi="en-US"/>
      </w:rPr>
    </w:lvl>
    <w:lvl w:ilvl="6" w:tplc="4524C51A">
      <w:numFmt w:val="bullet"/>
      <w:lvlText w:val="•"/>
      <w:lvlJc w:val="left"/>
      <w:pPr>
        <w:ind w:left="5932" w:hanging="360"/>
      </w:pPr>
      <w:rPr>
        <w:rFonts w:hint="default"/>
        <w:lang w:val="en-US" w:eastAsia="en-US" w:bidi="en-US"/>
      </w:rPr>
    </w:lvl>
    <w:lvl w:ilvl="7" w:tplc="0E9A8E9C">
      <w:numFmt w:val="bullet"/>
      <w:lvlText w:val="•"/>
      <w:lvlJc w:val="left"/>
      <w:pPr>
        <w:ind w:left="6810" w:hanging="360"/>
      </w:pPr>
      <w:rPr>
        <w:rFonts w:hint="default"/>
        <w:lang w:val="en-US" w:eastAsia="en-US" w:bidi="en-US"/>
      </w:rPr>
    </w:lvl>
    <w:lvl w:ilvl="8" w:tplc="6DD634A0">
      <w:numFmt w:val="bullet"/>
      <w:lvlText w:val="•"/>
      <w:lvlJc w:val="left"/>
      <w:pPr>
        <w:ind w:left="7689" w:hanging="360"/>
      </w:pPr>
      <w:rPr>
        <w:rFonts w:hint="default"/>
        <w:lang w:val="en-US" w:eastAsia="en-US" w:bidi="en-US"/>
      </w:rPr>
    </w:lvl>
  </w:abstractNum>
  <w:abstractNum w:abstractNumId="4" w15:restartNumberingAfterBreak="0">
    <w:nsid w:val="3C524A71"/>
    <w:multiLevelType w:val="hybridMultilevel"/>
    <w:tmpl w:val="0E7AC1F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3E8827B6"/>
    <w:multiLevelType w:val="hybridMultilevel"/>
    <w:tmpl w:val="32F068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F2B9A"/>
    <w:multiLevelType w:val="hybridMultilevel"/>
    <w:tmpl w:val="D0084C9A"/>
    <w:lvl w:ilvl="0" w:tplc="1122B36C">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3021DAE"/>
    <w:multiLevelType w:val="hybridMultilevel"/>
    <w:tmpl w:val="C0EA6B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DE"/>
    <w:rsid w:val="000150DA"/>
    <w:rsid w:val="000249C5"/>
    <w:rsid w:val="000C404D"/>
    <w:rsid w:val="000D08DE"/>
    <w:rsid w:val="00137A40"/>
    <w:rsid w:val="00137CB0"/>
    <w:rsid w:val="0014106F"/>
    <w:rsid w:val="0015431E"/>
    <w:rsid w:val="001643CF"/>
    <w:rsid w:val="001708EB"/>
    <w:rsid w:val="001763AB"/>
    <w:rsid w:val="001769AF"/>
    <w:rsid w:val="001E27D2"/>
    <w:rsid w:val="00214C73"/>
    <w:rsid w:val="002A1291"/>
    <w:rsid w:val="002B5ED9"/>
    <w:rsid w:val="002E4383"/>
    <w:rsid w:val="002F1A40"/>
    <w:rsid w:val="002F3AC9"/>
    <w:rsid w:val="003162D1"/>
    <w:rsid w:val="00350CD0"/>
    <w:rsid w:val="003753C3"/>
    <w:rsid w:val="003A20EF"/>
    <w:rsid w:val="003E6D0C"/>
    <w:rsid w:val="0040534E"/>
    <w:rsid w:val="004112FE"/>
    <w:rsid w:val="00496BFE"/>
    <w:rsid w:val="004A1472"/>
    <w:rsid w:val="004B2204"/>
    <w:rsid w:val="004B79C6"/>
    <w:rsid w:val="00514F02"/>
    <w:rsid w:val="0051520E"/>
    <w:rsid w:val="00527E88"/>
    <w:rsid w:val="00531C6F"/>
    <w:rsid w:val="005471BE"/>
    <w:rsid w:val="0057047C"/>
    <w:rsid w:val="00571A5F"/>
    <w:rsid w:val="005727C4"/>
    <w:rsid w:val="00577C8F"/>
    <w:rsid w:val="005978F0"/>
    <w:rsid w:val="005B1369"/>
    <w:rsid w:val="005B2483"/>
    <w:rsid w:val="005D0A2C"/>
    <w:rsid w:val="006017EA"/>
    <w:rsid w:val="00622B44"/>
    <w:rsid w:val="00653A00"/>
    <w:rsid w:val="006543F6"/>
    <w:rsid w:val="006A260B"/>
    <w:rsid w:val="006C17F4"/>
    <w:rsid w:val="006C2C69"/>
    <w:rsid w:val="006C366F"/>
    <w:rsid w:val="006C3AAE"/>
    <w:rsid w:val="006C5545"/>
    <w:rsid w:val="006E2D09"/>
    <w:rsid w:val="007145DA"/>
    <w:rsid w:val="00740EF4"/>
    <w:rsid w:val="00764592"/>
    <w:rsid w:val="0077074A"/>
    <w:rsid w:val="00781C8F"/>
    <w:rsid w:val="007C7E93"/>
    <w:rsid w:val="007F63AD"/>
    <w:rsid w:val="00825D3C"/>
    <w:rsid w:val="00850B0B"/>
    <w:rsid w:val="00850E5D"/>
    <w:rsid w:val="00883873"/>
    <w:rsid w:val="008966DC"/>
    <w:rsid w:val="008C1381"/>
    <w:rsid w:val="008C6F99"/>
    <w:rsid w:val="008F3D1D"/>
    <w:rsid w:val="009149C2"/>
    <w:rsid w:val="00934528"/>
    <w:rsid w:val="00957D52"/>
    <w:rsid w:val="009652DF"/>
    <w:rsid w:val="00997D59"/>
    <w:rsid w:val="009A5558"/>
    <w:rsid w:val="009B3CA1"/>
    <w:rsid w:val="009B6884"/>
    <w:rsid w:val="009F4485"/>
    <w:rsid w:val="00A350B7"/>
    <w:rsid w:val="00A540A3"/>
    <w:rsid w:val="00A56403"/>
    <w:rsid w:val="00A71F5B"/>
    <w:rsid w:val="00A85270"/>
    <w:rsid w:val="00AA5D9F"/>
    <w:rsid w:val="00AF080C"/>
    <w:rsid w:val="00B3034F"/>
    <w:rsid w:val="00B71FB2"/>
    <w:rsid w:val="00BA4553"/>
    <w:rsid w:val="00BA6EB4"/>
    <w:rsid w:val="00BA6F9D"/>
    <w:rsid w:val="00BB097D"/>
    <w:rsid w:val="00BB4EDA"/>
    <w:rsid w:val="00BE1C07"/>
    <w:rsid w:val="00C16C06"/>
    <w:rsid w:val="00C63F75"/>
    <w:rsid w:val="00C9600D"/>
    <w:rsid w:val="00CC30D7"/>
    <w:rsid w:val="00CE4720"/>
    <w:rsid w:val="00D811A1"/>
    <w:rsid w:val="00DC4968"/>
    <w:rsid w:val="00DD1ACD"/>
    <w:rsid w:val="00DE7CD6"/>
    <w:rsid w:val="00E95486"/>
    <w:rsid w:val="00EA1F79"/>
    <w:rsid w:val="00EA34AF"/>
    <w:rsid w:val="00EB1697"/>
    <w:rsid w:val="00EB4716"/>
    <w:rsid w:val="00EF2D25"/>
    <w:rsid w:val="00F024CA"/>
    <w:rsid w:val="00F03364"/>
    <w:rsid w:val="00F24423"/>
    <w:rsid w:val="00F274D6"/>
    <w:rsid w:val="00F42878"/>
    <w:rsid w:val="00F724D5"/>
    <w:rsid w:val="00F73916"/>
    <w:rsid w:val="00F942DF"/>
    <w:rsid w:val="00FA2543"/>
    <w:rsid w:val="00FC2BEA"/>
    <w:rsid w:val="00FC72BF"/>
    <w:rsid w:val="00FD6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0FFAFA-D63D-4FBE-8550-F42B9F36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68"/>
    <w:pPr>
      <w:bidi/>
      <w:spacing w:after="200" w:line="276" w:lineRule="auto"/>
    </w:pPr>
    <w:rPr>
      <w:rFonts w:ascii="Calibri" w:eastAsia="Times New Roman" w:hAnsi="Calibri" w:cs="Arial"/>
    </w:rPr>
  </w:style>
  <w:style w:type="paragraph" w:styleId="Heading1">
    <w:name w:val="heading 1"/>
    <w:basedOn w:val="Normal"/>
    <w:link w:val="Heading1Char"/>
    <w:uiPriority w:val="1"/>
    <w:qFormat/>
    <w:rsid w:val="006A260B"/>
    <w:pPr>
      <w:widowControl w:val="0"/>
      <w:autoSpaceDE w:val="0"/>
      <w:autoSpaceDN w:val="0"/>
      <w:bidi w:val="0"/>
      <w:spacing w:after="0" w:line="240" w:lineRule="auto"/>
      <w:ind w:left="460" w:hanging="360"/>
      <w:outlineLvl w:val="0"/>
    </w:pPr>
    <w:rPr>
      <w:rFonts w:ascii="Times New Roman" w:hAnsi="Times New Roman"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E93"/>
    <w:rPr>
      <w:color w:val="0563C1" w:themeColor="hyperlink"/>
      <w:u w:val="single"/>
    </w:rPr>
  </w:style>
  <w:style w:type="character" w:styleId="Strong">
    <w:name w:val="Strong"/>
    <w:basedOn w:val="DefaultParagraphFont"/>
    <w:uiPriority w:val="22"/>
    <w:qFormat/>
    <w:rsid w:val="007C7E93"/>
    <w:rPr>
      <w:b/>
      <w:bCs/>
    </w:rPr>
  </w:style>
  <w:style w:type="paragraph" w:styleId="ListParagraph">
    <w:name w:val="List Paragraph"/>
    <w:basedOn w:val="Normal"/>
    <w:uiPriority w:val="34"/>
    <w:qFormat/>
    <w:rsid w:val="00883873"/>
    <w:pPr>
      <w:widowControl w:val="0"/>
      <w:autoSpaceDE w:val="0"/>
      <w:autoSpaceDN w:val="0"/>
      <w:bidi w:val="0"/>
      <w:spacing w:after="0" w:line="240" w:lineRule="auto"/>
      <w:ind w:left="820" w:hanging="360"/>
    </w:pPr>
    <w:rPr>
      <w:rFonts w:ascii="Times New Roman" w:hAnsi="Times New Roman" w:cs="Times New Roman"/>
      <w:lang w:bidi="en-US"/>
    </w:rPr>
  </w:style>
  <w:style w:type="paragraph" w:customStyle="1" w:styleId="Default">
    <w:name w:val="Default"/>
    <w:rsid w:val="004B22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B2204"/>
    <w:pPr>
      <w:bidi w:val="0"/>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6A260B"/>
    <w:rPr>
      <w:rFonts w:ascii="Times New Roman" w:eastAsia="Times New Roman" w:hAnsi="Times New Roman" w:cs="Times New Roman"/>
      <w:b/>
      <w:bCs/>
      <w:sz w:val="32"/>
      <w:szCs w:val="32"/>
      <w:lang w:bidi="en-US"/>
    </w:rPr>
  </w:style>
  <w:style w:type="paragraph" w:customStyle="1" w:styleId="Heading21">
    <w:name w:val="Heading 21"/>
    <w:basedOn w:val="Normal"/>
    <w:uiPriority w:val="1"/>
    <w:qFormat/>
    <w:rsid w:val="00137A40"/>
    <w:pPr>
      <w:widowControl w:val="0"/>
      <w:autoSpaceDE w:val="0"/>
      <w:autoSpaceDN w:val="0"/>
      <w:bidi w:val="0"/>
      <w:spacing w:after="0" w:line="240" w:lineRule="auto"/>
      <w:ind w:left="731" w:hanging="360"/>
      <w:outlineLvl w:val="2"/>
    </w:pPr>
    <w:rPr>
      <w:rFonts w:ascii="Times New Roman" w:hAnsi="Times New Roman" w:cs="Times New Roman"/>
      <w:b/>
      <w:bCs/>
      <w:sz w:val="30"/>
      <w:szCs w:val="30"/>
      <w:lang w:bidi="en-US"/>
    </w:rPr>
  </w:style>
  <w:style w:type="table" w:styleId="TableGrid">
    <w:name w:val="Table Grid"/>
    <w:basedOn w:val="TableNormal"/>
    <w:uiPriority w:val="59"/>
    <w:rsid w:val="00BE1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lement-citation">
    <w:name w:val="element-citation"/>
    <w:basedOn w:val="DefaultParagraphFont"/>
    <w:rsid w:val="00BE1C07"/>
  </w:style>
  <w:style w:type="character" w:customStyle="1" w:styleId="mw-mmv-title">
    <w:name w:val="mw-mmv-title"/>
    <w:basedOn w:val="DefaultParagraphFont"/>
    <w:rsid w:val="00BE1C07"/>
  </w:style>
  <w:style w:type="paragraph" w:customStyle="1" w:styleId="TableParagraph">
    <w:name w:val="Table Paragraph"/>
    <w:basedOn w:val="Normal"/>
    <w:uiPriority w:val="1"/>
    <w:qFormat/>
    <w:rsid w:val="00496BFE"/>
    <w:pPr>
      <w:widowControl w:val="0"/>
      <w:autoSpaceDE w:val="0"/>
      <w:autoSpaceDN w:val="0"/>
      <w:bidi w:val="0"/>
      <w:spacing w:before="136" w:after="0" w:line="240" w:lineRule="auto"/>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10.1161/HYPERTENSIONAHA.120.14868"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omicsonline.org/pharmaceutical-care-and-health-systems-open-access.php"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dicines.org.uk/emc/product/7887/pil" TargetMode="External" /><Relationship Id="rId11" Type="http://schemas.openxmlformats.org/officeDocument/2006/relationships/hyperlink" Target="https://www.ahajournals.org/doi/full/10.1161/HYPERTENSIONAHA.120.14868" TargetMode="External" /><Relationship Id="rId5" Type="http://schemas.openxmlformats.org/officeDocument/2006/relationships/hyperlink" Target="http://www.scialert.net/asci/result.php?searchin=Keywords&amp;cat=&amp;ascicat=ALL&amp;Submit=Search&amp;keyword=superoxide+dismutase" TargetMode="External" /><Relationship Id="rId10" Type="http://schemas.openxmlformats.org/officeDocument/2006/relationships/hyperlink" Target="https://www.ahajournals.org/doi/10.1161/HYPERTENSIONAHA.120.14868" TargetMode="External" /><Relationship Id="rId4" Type="http://schemas.openxmlformats.org/officeDocument/2006/relationships/webSettings" Target="webSettings.xml" /><Relationship Id="rId9" Type="http://schemas.openxmlformats.org/officeDocument/2006/relationships/hyperlink" Target="https://www.ahajournals.org/doi/10.1161/HYPERTENSIONAHA.120.14868"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tarek</dc:creator>
  <cp:keywords/>
  <dc:description/>
  <cp:lastModifiedBy>tayseer.alaa@fmed.bu.edu.eg</cp:lastModifiedBy>
  <cp:revision>2</cp:revision>
  <dcterms:created xsi:type="dcterms:W3CDTF">2021-12-19T00:16:00Z</dcterms:created>
  <dcterms:modified xsi:type="dcterms:W3CDTF">2021-12-19T00:16:00Z</dcterms:modified>
</cp:coreProperties>
</file>